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Academy of General Dentistry, “Evidence-Based Pain Control”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Dr. Art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Jeske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, June 2021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1.  DEA:  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</w:rPr>
          <w:t>https://www.dea.gov/resources</w:t>
        </w:r>
      </w:hyperlink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2.  Systematic reviews and randomized controlled trials for analgesic drugs: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 Search for “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pubmed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”, then enter: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 “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Single dose oral [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name of drug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] for acute postoperative pain in adults</w:t>
      </w:r>
      <w:r>
        <w:rPr>
          <w:rStyle w:val="normaltextrun"/>
          <w:rFonts w:ascii="Calibri" w:hAnsi="Calibri" w:cs="Calibri"/>
          <w:sz w:val="28"/>
          <w:szCs w:val="28"/>
        </w:rPr>
        <w:t>”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3.  AAPD Guidelines on Pain Control in Children: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</w:rPr>
          <w:t>https://aapd.org/media/Policies_Guidelines/P_AcutePainMgmt.pdf</w:t>
        </w:r>
      </w:hyperlink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4.  AAOMS White Paper on Opioid Prescribing:</w:t>
      </w:r>
      <w:r>
        <w:rPr>
          <w:rStyle w:val="normaltextrun"/>
          <w:rFonts w:ascii="Calibri" w:hAnsi="Calibri" w:cs="Calibri"/>
        </w:rPr>
        <w:t>  </w:t>
      </w:r>
      <w:r>
        <w:rPr>
          <w:rStyle w:val="eop"/>
          <w:rFonts w:ascii="Calibri" w:hAnsi="Calibri" w:cs="Calibri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   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https://aaoms.org/docs/govt_affairs/advocacy_white_papers/opioid_pescribing.pdf</w:t>
        </w:r>
      </w:hyperlink>
      <w:r>
        <w:rPr>
          <w:rStyle w:val="eop"/>
          <w:rFonts w:ascii="Calibri" w:hAnsi="Calibri" w:cs="Calibri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5.  Provider-Directed Analgesia for Acute Postoperative Pain: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 “Take 200 mg ibuprofen (e.g., 1 Advil)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WITH </w:t>
      </w:r>
      <w:r>
        <w:rPr>
          <w:rStyle w:val="normaltextrun"/>
          <w:rFonts w:ascii="Calibri" w:hAnsi="Calibri" w:cs="Calibri"/>
          <w:sz w:val="28"/>
          <w:szCs w:val="28"/>
        </w:rPr>
        <w:t>500 mg acetaminophen (1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 Extra-Strength Tylenol) every 6 hours as needed for pain”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 (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double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these dosages for 8-hour duration or in larger adults)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6.  Prescription Analgesia for Acute Postoperative Pain: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 Rx Oxycodone immediate release 5 mg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Disp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:  6 (six) tablets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 Sig:  Take 2 tabs with 1,000 mg acetaminophen (2 ES Tylenol)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             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every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8 hours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 Warnings:  Do not drive, drink alcohol, work, etc.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 (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quantity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can be increased to 12 or 18 for 2- and 3-day regimens,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       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respectively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>)   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61304" w:rsidRDefault="00861304" w:rsidP="0086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0F56BD" w:rsidRDefault="000F56BD">
      <w:bookmarkStart w:id="0" w:name="_GoBack"/>
      <w:bookmarkEnd w:id="0"/>
    </w:p>
    <w:sectPr w:rsidR="000F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04"/>
    <w:rsid w:val="000F56BD"/>
    <w:rsid w:val="008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B1570-2242-4982-BF9F-7F0FABB3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130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861304"/>
  </w:style>
  <w:style w:type="character" w:customStyle="1" w:styleId="eop">
    <w:name w:val="eop"/>
    <w:basedOn w:val="DefaultParagraphFont"/>
    <w:rsid w:val="0086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oms.org/docs/govt_affairs/advocacy_white_papers/opioid_pescribing.pdf" TargetMode="External"/><Relationship Id="rId5" Type="http://schemas.openxmlformats.org/officeDocument/2006/relationships/hyperlink" Target="https://aapd.org/media/Policies_Guidelines/P_AcutePainMgmt.pdf" TargetMode="External"/><Relationship Id="rId4" Type="http://schemas.openxmlformats.org/officeDocument/2006/relationships/hyperlink" Target="https://www.dea.gov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Gajda</dc:creator>
  <cp:keywords/>
  <dc:description/>
  <cp:lastModifiedBy>Samantha Gajda</cp:lastModifiedBy>
  <cp:revision>1</cp:revision>
  <dcterms:created xsi:type="dcterms:W3CDTF">2021-06-10T01:30:00Z</dcterms:created>
  <dcterms:modified xsi:type="dcterms:W3CDTF">2021-06-10T01:33:00Z</dcterms:modified>
</cp:coreProperties>
</file>