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560EA" w14:textId="77777777" w:rsidR="00397257" w:rsidRPr="00397257" w:rsidRDefault="00397257" w:rsidP="00403C51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Friday — 8:00 AM to 4:00 PM</w:t>
      </w:r>
    </w:p>
    <w:p w14:paraId="0A43CD19" w14:textId="77777777" w:rsidR="00397257" w:rsidRPr="00397257" w:rsidRDefault="00397257" w:rsidP="00403C51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Treatment Options for the Fully Edentulous Patient</w:t>
      </w:r>
    </w:p>
    <w:p w14:paraId="5CDBA2C9" w14:textId="1C16AD02" w:rsidR="00403C51" w:rsidRPr="00397257" w:rsidRDefault="00397257" w:rsidP="00403C51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Two-Part Serie</w:t>
      </w:r>
      <w:r w:rsidR="00403C51" w:rsidRPr="006D4AD9">
        <w:rPr>
          <w:rFonts w:ascii="Arial" w:hAnsi="Arial" w:cs="Arial"/>
          <w:b/>
          <w:bCs/>
          <w:sz w:val="16"/>
          <w:szCs w:val="16"/>
        </w:rPr>
        <w:t>s</w:t>
      </w:r>
    </w:p>
    <w:p w14:paraId="72F86EF8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121CCAE6">
          <v:rect id="_x0000_i1025" style="width:0;height:1.5pt" o:hralign="center" o:hrstd="t" o:hr="t" fillcolor="#a0a0a0" stroked="f"/>
        </w:pict>
      </w:r>
    </w:p>
    <w:p w14:paraId="3FC61FEC" w14:textId="77777777" w:rsidR="00397257" w:rsidRPr="00397257" w:rsidRDefault="00397257" w:rsidP="00397257">
      <w:pPr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Part I: Overdenture Patient Opportunities (Includes Hands-On)</w:t>
      </w:r>
    </w:p>
    <w:p w14:paraId="2EC37614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This session explores predictable, efficient solutions for managing edentulism and failing dentition—conditions that continue to affect millions worldwide.</w:t>
      </w:r>
      <w:r w:rsidRPr="00397257">
        <w:rPr>
          <w:rFonts w:ascii="Arial" w:hAnsi="Arial" w:cs="Arial"/>
          <w:sz w:val="16"/>
          <w:szCs w:val="16"/>
        </w:rPr>
        <w:br/>
      </w:r>
      <w:r w:rsidRPr="00397257">
        <w:rPr>
          <w:rFonts w:ascii="Arial" w:hAnsi="Arial" w:cs="Arial"/>
          <w:b/>
          <w:bCs/>
          <w:sz w:val="16"/>
          <w:szCs w:val="16"/>
        </w:rPr>
        <w:t>Topics include:</w:t>
      </w:r>
    </w:p>
    <w:p w14:paraId="1B95B2D6" w14:textId="77777777" w:rsidR="00397257" w:rsidRPr="00397257" w:rsidRDefault="00397257" w:rsidP="00403C51">
      <w:pPr>
        <w:numPr>
          <w:ilvl w:val="0"/>
          <w:numId w:val="1"/>
        </w:numPr>
        <w:spacing w:after="0"/>
        <w:rPr>
          <w:rFonts w:ascii="Arial" w:hAnsi="Arial" w:cs="Arial"/>
          <w:sz w:val="16"/>
          <w:szCs w:val="16"/>
        </w:rPr>
      </w:pPr>
      <w:proofErr w:type="spellStart"/>
      <w:r w:rsidRPr="00397257">
        <w:rPr>
          <w:rFonts w:ascii="Arial" w:hAnsi="Arial" w:cs="Arial"/>
          <w:sz w:val="16"/>
          <w:szCs w:val="16"/>
        </w:rPr>
        <w:t>Mucosally</w:t>
      </w:r>
      <w:proofErr w:type="spellEnd"/>
      <w:r w:rsidRPr="00397257">
        <w:rPr>
          <w:rFonts w:ascii="Arial" w:hAnsi="Arial" w:cs="Arial"/>
          <w:sz w:val="16"/>
          <w:szCs w:val="16"/>
        </w:rPr>
        <w:t xml:space="preserve"> supported and implant-retained overdenture therapy</w:t>
      </w:r>
    </w:p>
    <w:p w14:paraId="58FA7FDA" w14:textId="77777777" w:rsidR="00397257" w:rsidRPr="00397257" w:rsidRDefault="00397257" w:rsidP="00403C51">
      <w:pPr>
        <w:numPr>
          <w:ilvl w:val="0"/>
          <w:numId w:val="1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Improving quality of life for fully edentulous patients</w:t>
      </w:r>
    </w:p>
    <w:p w14:paraId="1D07AC4F" w14:textId="77777777" w:rsidR="00397257" w:rsidRPr="00397257" w:rsidRDefault="00397257" w:rsidP="00403C51">
      <w:pPr>
        <w:numPr>
          <w:ilvl w:val="0"/>
          <w:numId w:val="1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Simplified clinical workflows using ZimVie systems</w:t>
      </w:r>
    </w:p>
    <w:p w14:paraId="4A6A0B92" w14:textId="77777777" w:rsidR="00397257" w:rsidRPr="00397257" w:rsidRDefault="00397257" w:rsidP="00397257">
      <w:pPr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i/>
          <w:iCs/>
          <w:sz w:val="16"/>
          <w:szCs w:val="16"/>
        </w:rPr>
        <w:t>Hands-on:</w:t>
      </w:r>
      <w:r w:rsidRPr="00397257">
        <w:rPr>
          <w:rFonts w:ascii="Arial" w:hAnsi="Arial" w:cs="Arial"/>
          <w:sz w:val="16"/>
          <w:szCs w:val="16"/>
        </w:rPr>
        <w:t xml:space="preserve"> Chairside pick-up process for overdenture attachments</w:t>
      </w:r>
    </w:p>
    <w:p w14:paraId="614AB4B5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75A09A71">
          <v:rect id="_x0000_i1026" style="width:0;height:1.5pt" o:hralign="center" o:hrstd="t" o:hr="t" fillcolor="#a0a0a0" stroked="f"/>
        </w:pict>
      </w:r>
    </w:p>
    <w:p w14:paraId="0A036756" w14:textId="77777777" w:rsidR="00397257" w:rsidRPr="00397257" w:rsidRDefault="00397257" w:rsidP="00397257">
      <w:pPr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Part II: Immediate Full-Arch Rehabilitation — “Same or Next Day Dentistry”</w:t>
      </w:r>
    </w:p>
    <w:p w14:paraId="3FA01114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For patients seeking rapid improvement in function and confidence, immediate full-arch restoration offers an impactful solution.</w:t>
      </w:r>
      <w:r w:rsidRPr="00397257">
        <w:rPr>
          <w:rFonts w:ascii="Arial" w:hAnsi="Arial" w:cs="Arial"/>
          <w:sz w:val="16"/>
          <w:szCs w:val="16"/>
        </w:rPr>
        <w:br/>
      </w:r>
      <w:r w:rsidRPr="00397257">
        <w:rPr>
          <w:rFonts w:ascii="Arial" w:hAnsi="Arial" w:cs="Arial"/>
          <w:b/>
          <w:bCs/>
          <w:sz w:val="16"/>
          <w:szCs w:val="16"/>
        </w:rPr>
        <w:t>Topics include:</w:t>
      </w:r>
    </w:p>
    <w:p w14:paraId="7ABC0700" w14:textId="77777777" w:rsidR="00397257" w:rsidRPr="00397257" w:rsidRDefault="00397257" w:rsidP="00403C51">
      <w:pPr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Overview of immediate full-arch treatment modalities</w:t>
      </w:r>
    </w:p>
    <w:p w14:paraId="1A6589EE" w14:textId="77777777" w:rsidR="00397257" w:rsidRPr="00397257" w:rsidRDefault="00397257" w:rsidP="00403C51">
      <w:pPr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Step-by-step guide to delivering a provisional full-arch prosthesis on the day of implant placement</w:t>
      </w:r>
    </w:p>
    <w:p w14:paraId="44693DE9" w14:textId="77777777" w:rsidR="00397257" w:rsidRPr="00397257" w:rsidRDefault="00397257" w:rsidP="00403C51">
      <w:pPr>
        <w:numPr>
          <w:ilvl w:val="0"/>
          <w:numId w:val="2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Techniques for developing an aesthetic, functional definitive prosthesis</w:t>
      </w:r>
    </w:p>
    <w:p w14:paraId="1478F44E" w14:textId="77777777" w:rsidR="00397257" w:rsidRPr="00397257" w:rsidRDefault="00397257" w:rsidP="00397257">
      <w:pPr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i/>
          <w:iCs/>
          <w:sz w:val="16"/>
          <w:szCs w:val="16"/>
        </w:rPr>
        <w:t>Observation:</w:t>
      </w:r>
      <w:r w:rsidRPr="00397257">
        <w:rPr>
          <w:rFonts w:ascii="Arial" w:hAnsi="Arial" w:cs="Arial"/>
          <w:sz w:val="16"/>
          <w:szCs w:val="16"/>
        </w:rPr>
        <w:t xml:space="preserve"> Over-the-shoulder chairside denture conversion (OTS)</w:t>
      </w:r>
    </w:p>
    <w:p w14:paraId="7F4113F2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2D51C66E">
          <v:rect id="_x0000_i1027" style="width:0;height:1.5pt" o:hralign="center" o:hrstd="t" o:hr="t" fillcolor="#a0a0a0" stroked="f"/>
        </w:pict>
      </w:r>
    </w:p>
    <w:p w14:paraId="6F674179" w14:textId="2C2413CB" w:rsidR="00397257" w:rsidRPr="00397257" w:rsidRDefault="00397257" w:rsidP="00403C51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Saturday — 8:00 AM to 4:00 PM</w:t>
      </w:r>
    </w:p>
    <w:p w14:paraId="6747A395" w14:textId="77777777" w:rsidR="00397257" w:rsidRPr="00397257" w:rsidRDefault="00397257" w:rsidP="00403C51">
      <w:pPr>
        <w:spacing w:after="0"/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What’s New in Implant Dentistry</w:t>
      </w:r>
    </w:p>
    <w:p w14:paraId="425B893C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Three-Part Series</w:t>
      </w:r>
    </w:p>
    <w:p w14:paraId="4CAC912C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7C7530EB">
          <v:rect id="_x0000_i1029" style="width:0;height:1.5pt" o:hralign="center" o:hrstd="t" o:hr="t" fillcolor="#a0a0a0" stroked="f"/>
        </w:pict>
      </w:r>
    </w:p>
    <w:p w14:paraId="134A1EAD" w14:textId="77777777" w:rsidR="00397257" w:rsidRPr="00397257" w:rsidRDefault="00397257" w:rsidP="00397257">
      <w:pPr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Part I: Immediate Implant Temporization in the Aesthetic Zone (Includes Hands-On)</w:t>
      </w:r>
    </w:p>
    <w:p w14:paraId="1D879696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A deep dive into managing single-tooth implants in the aesthetic zone with emphasis on long-term soft-tissue stability.</w:t>
      </w:r>
      <w:r w:rsidRPr="00397257">
        <w:rPr>
          <w:rFonts w:ascii="Arial" w:hAnsi="Arial" w:cs="Arial"/>
          <w:sz w:val="16"/>
          <w:szCs w:val="16"/>
        </w:rPr>
        <w:br/>
      </w:r>
      <w:r w:rsidRPr="00397257">
        <w:rPr>
          <w:rFonts w:ascii="Arial" w:hAnsi="Arial" w:cs="Arial"/>
          <w:b/>
          <w:bCs/>
          <w:sz w:val="16"/>
          <w:szCs w:val="16"/>
        </w:rPr>
        <w:t>Topics include:</w:t>
      </w:r>
    </w:p>
    <w:p w14:paraId="75A8B3C2" w14:textId="77777777" w:rsidR="00397257" w:rsidRPr="00397257" w:rsidRDefault="00397257" w:rsidP="00403C51">
      <w:pPr>
        <w:numPr>
          <w:ilvl w:val="0"/>
          <w:numId w:val="3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Theoretical foundations for immediate temporization</w:t>
      </w:r>
    </w:p>
    <w:p w14:paraId="64050D50" w14:textId="77777777" w:rsidR="00397257" w:rsidRPr="00397257" w:rsidRDefault="00397257" w:rsidP="00403C51">
      <w:pPr>
        <w:numPr>
          <w:ilvl w:val="0"/>
          <w:numId w:val="3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Strategies to optimize peri-implant soft-tissue aesthetics</w:t>
      </w:r>
    </w:p>
    <w:p w14:paraId="30DCAF5F" w14:textId="77777777" w:rsidR="00397257" w:rsidRPr="00397257" w:rsidRDefault="00397257" w:rsidP="00403C51">
      <w:pPr>
        <w:numPr>
          <w:ilvl w:val="0"/>
          <w:numId w:val="3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i/>
          <w:iCs/>
          <w:sz w:val="16"/>
          <w:szCs w:val="16"/>
        </w:rPr>
        <w:t>Hands-on:</w:t>
      </w:r>
      <w:r w:rsidRPr="00397257">
        <w:rPr>
          <w:rFonts w:ascii="Arial" w:hAnsi="Arial" w:cs="Arial"/>
          <w:sz w:val="16"/>
          <w:szCs w:val="16"/>
        </w:rPr>
        <w:t xml:space="preserve"> Fabrication of an anterior temporary restoration</w:t>
      </w:r>
    </w:p>
    <w:p w14:paraId="1D40AC46" w14:textId="77777777" w:rsidR="00397257" w:rsidRPr="00397257" w:rsidRDefault="00397257" w:rsidP="00397257">
      <w:pPr>
        <w:numPr>
          <w:ilvl w:val="0"/>
          <w:numId w:val="3"/>
        </w:num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i/>
          <w:iCs/>
          <w:sz w:val="16"/>
          <w:szCs w:val="16"/>
        </w:rPr>
        <w:t>Hands-on:</w:t>
      </w:r>
      <w:r w:rsidRPr="00397257">
        <w:rPr>
          <w:rFonts w:ascii="Arial" w:hAnsi="Arial" w:cs="Arial"/>
          <w:sz w:val="16"/>
          <w:szCs w:val="16"/>
        </w:rPr>
        <w:t xml:space="preserve"> Creating a custom impression coping</w:t>
      </w:r>
    </w:p>
    <w:p w14:paraId="551DCE53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36E2AB2C">
          <v:rect id="_x0000_i1030" style="width:0;height:1.5pt" o:hralign="center" o:hrstd="t" o:hr="t" fillcolor="#a0a0a0" stroked="f"/>
        </w:pict>
      </w:r>
    </w:p>
    <w:p w14:paraId="73811845" w14:textId="77777777" w:rsidR="00397257" w:rsidRPr="00397257" w:rsidRDefault="00397257" w:rsidP="00397257">
      <w:pPr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Part II: Digital Dentistry</w:t>
      </w:r>
    </w:p>
    <w:p w14:paraId="3A8D1244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An overview of how modern digital tools enhance restorative workflows and outcomes.</w:t>
      </w:r>
      <w:r w:rsidRPr="00397257">
        <w:rPr>
          <w:rFonts w:ascii="Arial" w:hAnsi="Arial" w:cs="Arial"/>
          <w:sz w:val="16"/>
          <w:szCs w:val="16"/>
        </w:rPr>
        <w:br/>
      </w:r>
      <w:r w:rsidRPr="00397257">
        <w:rPr>
          <w:rFonts w:ascii="Arial" w:hAnsi="Arial" w:cs="Arial"/>
          <w:b/>
          <w:bCs/>
          <w:sz w:val="16"/>
          <w:szCs w:val="16"/>
        </w:rPr>
        <w:t>Topics include:</w:t>
      </w:r>
    </w:p>
    <w:p w14:paraId="510296A4" w14:textId="77777777" w:rsidR="00397257" w:rsidRPr="00397257" w:rsidRDefault="00397257" w:rsidP="00403C51">
      <w:pPr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Evolution and current state of digital dentistry</w:t>
      </w:r>
    </w:p>
    <w:p w14:paraId="6B59E68B" w14:textId="77777777" w:rsidR="00397257" w:rsidRPr="00397257" w:rsidRDefault="00397257" w:rsidP="00403C51">
      <w:pPr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Clinical rationale for adopting digital workflows</w:t>
      </w:r>
    </w:p>
    <w:p w14:paraId="72EE61F2" w14:textId="77777777" w:rsidR="00397257" w:rsidRPr="00397257" w:rsidRDefault="00397257" w:rsidP="00403C51">
      <w:pPr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Benefits of intra-oral scanning</w:t>
      </w:r>
    </w:p>
    <w:p w14:paraId="3E308011" w14:textId="77777777" w:rsidR="00397257" w:rsidRPr="00397257" w:rsidRDefault="00397257" w:rsidP="00403C51">
      <w:pPr>
        <w:numPr>
          <w:ilvl w:val="0"/>
          <w:numId w:val="4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Principles of CAD/CAM design and abutment fabrication</w:t>
      </w:r>
    </w:p>
    <w:p w14:paraId="65ADEF74" w14:textId="77777777" w:rsidR="00397257" w:rsidRPr="00397257" w:rsidRDefault="00397257" w:rsidP="00397257">
      <w:pPr>
        <w:numPr>
          <w:ilvl w:val="0"/>
          <w:numId w:val="4"/>
        </w:num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Collaboration between restorative clinicians and dental labs</w:t>
      </w:r>
    </w:p>
    <w:p w14:paraId="5CC828D4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pict w14:anchorId="30CD7DF1">
          <v:rect id="_x0000_i1031" style="width:0;height:1.5pt" o:hralign="center" o:hrstd="t" o:hr="t" fillcolor="#a0a0a0" stroked="f"/>
        </w:pict>
      </w:r>
    </w:p>
    <w:p w14:paraId="05D3383E" w14:textId="77777777" w:rsidR="00397257" w:rsidRPr="00397257" w:rsidRDefault="00397257" w:rsidP="00397257">
      <w:pPr>
        <w:rPr>
          <w:rFonts w:ascii="Arial" w:hAnsi="Arial" w:cs="Arial"/>
          <w:b/>
          <w:bCs/>
          <w:sz w:val="16"/>
          <w:szCs w:val="16"/>
        </w:rPr>
      </w:pPr>
      <w:r w:rsidRPr="00397257">
        <w:rPr>
          <w:rFonts w:ascii="Arial" w:hAnsi="Arial" w:cs="Arial"/>
          <w:b/>
          <w:bCs/>
          <w:sz w:val="16"/>
          <w:szCs w:val="16"/>
        </w:rPr>
        <w:t>Part III: Implant Prosthetic Misadventures</w:t>
      </w:r>
    </w:p>
    <w:p w14:paraId="1321533B" w14:textId="77777777" w:rsidR="00397257" w:rsidRPr="00397257" w:rsidRDefault="00397257" w:rsidP="00397257">
      <w:pPr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A practical guide to avoiding and managing complications with implant prosthetics.</w:t>
      </w:r>
      <w:r w:rsidRPr="00397257">
        <w:rPr>
          <w:rFonts w:ascii="Arial" w:hAnsi="Arial" w:cs="Arial"/>
          <w:sz w:val="16"/>
          <w:szCs w:val="16"/>
        </w:rPr>
        <w:br/>
      </w:r>
      <w:r w:rsidRPr="00397257">
        <w:rPr>
          <w:rFonts w:ascii="Arial" w:hAnsi="Arial" w:cs="Arial"/>
          <w:b/>
          <w:bCs/>
          <w:sz w:val="16"/>
          <w:szCs w:val="16"/>
        </w:rPr>
        <w:t>Topics include:</w:t>
      </w:r>
    </w:p>
    <w:p w14:paraId="0082B476" w14:textId="77777777" w:rsidR="00397257" w:rsidRPr="00397257" w:rsidRDefault="00397257" w:rsidP="00403C51">
      <w:pPr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Long-term success and failure factors for implant restorations</w:t>
      </w:r>
    </w:p>
    <w:p w14:paraId="3151C4EC" w14:textId="77777777" w:rsidR="00397257" w:rsidRPr="00397257" w:rsidRDefault="00397257" w:rsidP="00403C51">
      <w:pPr>
        <w:numPr>
          <w:ilvl w:val="0"/>
          <w:numId w:val="5"/>
        </w:numPr>
        <w:spacing w:after="0"/>
        <w:rPr>
          <w:rFonts w:ascii="Arial" w:hAnsi="Arial" w:cs="Arial"/>
          <w:sz w:val="16"/>
          <w:szCs w:val="16"/>
        </w:rPr>
      </w:pPr>
      <w:r w:rsidRPr="00397257">
        <w:rPr>
          <w:rFonts w:ascii="Arial" w:hAnsi="Arial" w:cs="Arial"/>
          <w:sz w:val="16"/>
          <w:szCs w:val="16"/>
        </w:rPr>
        <w:t>Improving clinician–laboratory communication</w:t>
      </w:r>
    </w:p>
    <w:p w14:paraId="0424447B" w14:textId="1EEFE789" w:rsidR="00397257" w:rsidRPr="006D4AD9" w:rsidRDefault="00397257" w:rsidP="006D4AD9">
      <w:pPr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97257">
        <w:rPr>
          <w:rFonts w:ascii="Arial" w:hAnsi="Arial" w:cs="Arial"/>
          <w:sz w:val="16"/>
          <w:szCs w:val="16"/>
        </w:rPr>
        <w:t>Key pearls for reliable, long-term prosthetic outcomes</w:t>
      </w:r>
    </w:p>
    <w:sectPr w:rsidR="00397257" w:rsidRPr="006D4AD9" w:rsidSect="00403C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E0843"/>
    <w:multiLevelType w:val="multilevel"/>
    <w:tmpl w:val="48D2F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B6E24"/>
    <w:multiLevelType w:val="multilevel"/>
    <w:tmpl w:val="459CE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C207C6"/>
    <w:multiLevelType w:val="multilevel"/>
    <w:tmpl w:val="E318B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32244"/>
    <w:multiLevelType w:val="multilevel"/>
    <w:tmpl w:val="7D5C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44A82"/>
    <w:multiLevelType w:val="multilevel"/>
    <w:tmpl w:val="5562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84850928">
    <w:abstractNumId w:val="4"/>
  </w:num>
  <w:num w:numId="2" w16cid:durableId="297079503">
    <w:abstractNumId w:val="2"/>
  </w:num>
  <w:num w:numId="3" w16cid:durableId="995915523">
    <w:abstractNumId w:val="3"/>
  </w:num>
  <w:num w:numId="4" w16cid:durableId="2039352184">
    <w:abstractNumId w:val="0"/>
  </w:num>
  <w:num w:numId="5" w16cid:durableId="1362437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257"/>
    <w:rsid w:val="0026369B"/>
    <w:rsid w:val="00397257"/>
    <w:rsid w:val="00403C51"/>
    <w:rsid w:val="006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9AD46"/>
  <w15:chartTrackingRefBased/>
  <w15:docId w15:val="{7FB2CE4E-184F-498A-9F9E-7629715E4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7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7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7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7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7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7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7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7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7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7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7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7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72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72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72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72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72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72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7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7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7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7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7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72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72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72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7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72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72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284</Words>
  <Characters>1993</Characters>
  <Application>Microsoft Office Word</Application>
  <DocSecurity>0</DocSecurity>
  <Lines>52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Szara, Wayne</dc:creator>
  <cp:keywords/>
  <dc:description/>
  <cp:lastModifiedBy>Szara, Wayne</cp:lastModifiedBy>
  <cp:revision>1</cp:revision>
  <dcterms:created xsi:type="dcterms:W3CDTF">2025-11-21T20:43:00Z</dcterms:created>
  <dcterms:modified xsi:type="dcterms:W3CDTF">2025-11-21T22:08:00Z</dcterms:modified>
</cp:coreProperties>
</file>