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F6AB" w14:textId="4F9414EF" w:rsidR="003B417C" w:rsidRPr="00BD303F" w:rsidRDefault="00783149" w:rsidP="00783149">
      <w:pPr>
        <w:jc w:val="center"/>
        <w:rPr>
          <w:rFonts w:ascii="Tahoma" w:hAnsi="Tahoma" w:cstheme="majorHAnsi"/>
        </w:rPr>
      </w:pPr>
      <w:r w:rsidRPr="00783149">
        <w:rPr>
          <w:rFonts w:ascii="Tahoma" w:eastAsia="Times New Roman" w:hAnsi="Tahoma" w:cs="Arial"/>
          <w:b/>
          <w:color w:val="231F20"/>
          <w:sz w:val="36"/>
          <w:shd w:val="clear" w:color="auto" w:fill="FFFFFF"/>
        </w:rPr>
        <w:t>Unplanned Tooth Movements in Aligner Therapy</w:t>
      </w:r>
    </w:p>
    <w:p w14:paraId="05DEF2A3" w14:textId="7EF404EA" w:rsidR="003B417C" w:rsidRPr="00BD303F" w:rsidRDefault="003B417C" w:rsidP="003B417C">
      <w:pPr>
        <w:rPr>
          <w:rFonts w:ascii="Tahoma" w:hAnsi="Tahoma" w:cstheme="majorHAnsi"/>
          <w:sz w:val="21"/>
          <w:szCs w:val="21"/>
        </w:rPr>
      </w:pPr>
      <w:r w:rsidRPr="00BD303F">
        <w:rPr>
          <w:rFonts w:ascii="Tahoma" w:hAnsi="Tahoma" w:cstheme="majorHAnsi"/>
          <w:b/>
          <w:bCs/>
          <w:sz w:val="21"/>
          <w:szCs w:val="21"/>
        </w:rPr>
        <w:t>Speaker:</w:t>
      </w:r>
      <w:r w:rsidRPr="00BD303F">
        <w:rPr>
          <w:rFonts w:ascii="Tahoma" w:hAnsi="Tahoma" w:cstheme="majorHAnsi"/>
          <w:sz w:val="21"/>
          <w:szCs w:val="21"/>
        </w:rPr>
        <w:t xml:space="preserve"> Dr. </w:t>
      </w:r>
      <w:r w:rsidR="00783149">
        <w:rPr>
          <w:rFonts w:ascii="Tahoma" w:hAnsi="Tahoma" w:cstheme="majorHAnsi"/>
          <w:sz w:val="21"/>
          <w:szCs w:val="21"/>
        </w:rPr>
        <w:t xml:space="preserve">James </w:t>
      </w:r>
      <w:proofErr w:type="spellStart"/>
      <w:r w:rsidR="00783149">
        <w:rPr>
          <w:rFonts w:ascii="Tahoma" w:hAnsi="Tahoma" w:cstheme="majorHAnsi"/>
          <w:sz w:val="21"/>
          <w:szCs w:val="21"/>
        </w:rPr>
        <w:t>Mah</w:t>
      </w:r>
      <w:proofErr w:type="spellEnd"/>
      <w:r w:rsidR="0052700F">
        <w:rPr>
          <w:rFonts w:ascii="Tahoma" w:hAnsi="Tahoma" w:cstheme="majorHAnsi"/>
          <w:sz w:val="21"/>
          <w:szCs w:val="21"/>
        </w:rPr>
        <w:t>,</w:t>
      </w:r>
      <w:r w:rsidR="000442DA">
        <w:rPr>
          <w:rFonts w:ascii="Tahoma" w:hAnsi="Tahoma" w:cstheme="majorHAnsi"/>
          <w:sz w:val="21"/>
          <w:szCs w:val="21"/>
        </w:rPr>
        <w:t xml:space="preserve"> D.</w:t>
      </w:r>
      <w:r w:rsidR="00783149">
        <w:rPr>
          <w:rFonts w:ascii="Tahoma" w:hAnsi="Tahoma" w:cstheme="majorHAnsi"/>
          <w:sz w:val="21"/>
          <w:szCs w:val="21"/>
        </w:rPr>
        <w:t>D</w:t>
      </w:r>
      <w:r w:rsidR="00072945">
        <w:rPr>
          <w:rFonts w:ascii="Tahoma" w:hAnsi="Tahoma" w:cstheme="majorHAnsi"/>
          <w:sz w:val="21"/>
          <w:szCs w:val="21"/>
        </w:rPr>
        <w:t>.</w:t>
      </w:r>
      <w:r w:rsidR="00783149">
        <w:rPr>
          <w:rFonts w:ascii="Tahoma" w:hAnsi="Tahoma" w:cstheme="majorHAnsi"/>
          <w:sz w:val="21"/>
          <w:szCs w:val="21"/>
        </w:rPr>
        <w:t>S</w:t>
      </w:r>
      <w:r w:rsidR="00072945">
        <w:rPr>
          <w:rFonts w:ascii="Tahoma" w:hAnsi="Tahoma" w:cstheme="majorHAnsi"/>
          <w:sz w:val="21"/>
          <w:szCs w:val="21"/>
        </w:rPr>
        <w:t>.</w:t>
      </w:r>
      <w:r w:rsidR="0052700F">
        <w:rPr>
          <w:rFonts w:ascii="Tahoma" w:hAnsi="Tahoma" w:cstheme="majorHAnsi"/>
          <w:sz w:val="21"/>
          <w:szCs w:val="21"/>
        </w:rPr>
        <w:tab/>
      </w:r>
      <w:r>
        <w:rPr>
          <w:rFonts w:ascii="Tahoma" w:hAnsi="Tahoma" w:cstheme="majorHAnsi"/>
          <w:sz w:val="21"/>
          <w:szCs w:val="21"/>
        </w:rPr>
        <w:tab/>
      </w:r>
      <w:r w:rsidR="00783149">
        <w:rPr>
          <w:rFonts w:ascii="Tahoma" w:hAnsi="Tahoma" w:cstheme="majorHAnsi"/>
          <w:sz w:val="21"/>
          <w:szCs w:val="21"/>
        </w:rPr>
        <w:tab/>
      </w:r>
      <w:r w:rsidR="006D60B9" w:rsidRPr="00647884">
        <w:rPr>
          <w:rFonts w:ascii="Tahoma" w:hAnsi="Tahoma" w:cstheme="majorHAnsi"/>
          <w:b/>
          <w:sz w:val="21"/>
          <w:szCs w:val="21"/>
        </w:rPr>
        <w:t>Date:</w:t>
      </w:r>
      <w:r w:rsidR="00647884" w:rsidRPr="00647884">
        <w:rPr>
          <w:rFonts w:ascii="Tahoma" w:hAnsi="Tahoma" w:cstheme="majorHAnsi"/>
          <w:b/>
          <w:sz w:val="21"/>
          <w:szCs w:val="21"/>
        </w:rPr>
        <w:t xml:space="preserve"> </w:t>
      </w:r>
      <w:r w:rsidR="00783149">
        <w:rPr>
          <w:rFonts w:ascii="Tahoma" w:hAnsi="Tahoma" w:cstheme="majorHAnsi"/>
          <w:sz w:val="21"/>
          <w:szCs w:val="21"/>
        </w:rPr>
        <w:t>January</w:t>
      </w:r>
      <w:r w:rsidR="00072945">
        <w:rPr>
          <w:rFonts w:ascii="Tahoma" w:hAnsi="Tahoma" w:cstheme="majorHAnsi"/>
          <w:sz w:val="21"/>
          <w:szCs w:val="21"/>
        </w:rPr>
        <w:t xml:space="preserve"> 2</w:t>
      </w:r>
      <w:r w:rsidR="00783149">
        <w:rPr>
          <w:rFonts w:ascii="Tahoma" w:hAnsi="Tahoma" w:cstheme="majorHAnsi"/>
          <w:sz w:val="21"/>
          <w:szCs w:val="21"/>
        </w:rPr>
        <w:t>4</w:t>
      </w:r>
      <w:r w:rsidR="0052700F">
        <w:rPr>
          <w:rFonts w:ascii="Tahoma" w:hAnsi="Tahoma" w:cstheme="majorHAnsi"/>
          <w:sz w:val="21"/>
          <w:szCs w:val="21"/>
        </w:rPr>
        <w:t>, 202</w:t>
      </w:r>
      <w:r w:rsidR="00783149">
        <w:rPr>
          <w:rFonts w:ascii="Tahoma" w:hAnsi="Tahoma" w:cstheme="majorHAnsi"/>
          <w:sz w:val="21"/>
          <w:szCs w:val="21"/>
        </w:rPr>
        <w:t>3</w:t>
      </w:r>
      <w:r w:rsidR="00647884" w:rsidRPr="00647884">
        <w:rPr>
          <w:rFonts w:ascii="Tahoma" w:hAnsi="Tahoma" w:cstheme="majorHAnsi"/>
          <w:sz w:val="21"/>
          <w:szCs w:val="21"/>
        </w:rPr>
        <w:t xml:space="preserve"> from </w:t>
      </w:r>
      <w:r w:rsidR="00783149">
        <w:rPr>
          <w:rFonts w:ascii="Tahoma" w:hAnsi="Tahoma" w:cstheme="majorHAnsi"/>
          <w:sz w:val="21"/>
          <w:szCs w:val="21"/>
        </w:rPr>
        <w:t>7-8</w:t>
      </w:r>
      <w:r w:rsidR="00647884" w:rsidRPr="00647884">
        <w:rPr>
          <w:rFonts w:ascii="Tahoma" w:hAnsi="Tahoma" w:cstheme="majorHAnsi"/>
          <w:sz w:val="21"/>
          <w:szCs w:val="21"/>
        </w:rPr>
        <w:t xml:space="preserve"> pm PST</w:t>
      </w:r>
    </w:p>
    <w:p w14:paraId="550F1C00" w14:textId="4B1EE930" w:rsidR="003B417C" w:rsidRPr="00BD303F" w:rsidRDefault="003B417C" w:rsidP="003B417C">
      <w:pPr>
        <w:rPr>
          <w:rFonts w:ascii="Tahoma" w:hAnsi="Tahoma" w:cstheme="majorHAnsi"/>
          <w:sz w:val="21"/>
          <w:szCs w:val="21"/>
        </w:rPr>
      </w:pPr>
      <w:r w:rsidRPr="00BD303F">
        <w:rPr>
          <w:rFonts w:ascii="Tahoma" w:hAnsi="Tahoma" w:cstheme="majorHAnsi"/>
          <w:b/>
          <w:sz w:val="21"/>
          <w:szCs w:val="21"/>
        </w:rPr>
        <w:t>Educational Method:</w:t>
      </w:r>
      <w:r w:rsidRPr="00BD303F">
        <w:rPr>
          <w:rFonts w:ascii="Tahoma" w:hAnsi="Tahoma" w:cstheme="majorHAnsi"/>
          <w:sz w:val="21"/>
          <w:szCs w:val="21"/>
        </w:rPr>
        <w:t xml:space="preserve"> </w:t>
      </w:r>
      <w:r>
        <w:rPr>
          <w:rFonts w:ascii="Tahoma" w:hAnsi="Tahoma" w:cstheme="majorHAnsi"/>
          <w:sz w:val="21"/>
          <w:szCs w:val="21"/>
        </w:rPr>
        <w:t xml:space="preserve">Lecture </w:t>
      </w:r>
      <w:r w:rsidRPr="00BD303F">
        <w:rPr>
          <w:rFonts w:ascii="Tahoma" w:hAnsi="Tahoma" w:cstheme="majorHAnsi"/>
          <w:sz w:val="21"/>
          <w:szCs w:val="21"/>
        </w:rPr>
        <w:tab/>
      </w:r>
      <w:r w:rsidR="0052700F">
        <w:rPr>
          <w:rFonts w:ascii="Tahoma" w:hAnsi="Tahoma" w:cstheme="majorHAnsi"/>
          <w:sz w:val="21"/>
          <w:szCs w:val="21"/>
        </w:rPr>
        <w:tab/>
      </w:r>
      <w:r w:rsidR="00783149">
        <w:rPr>
          <w:rFonts w:ascii="Tahoma" w:hAnsi="Tahoma" w:cstheme="majorHAnsi"/>
          <w:sz w:val="21"/>
          <w:szCs w:val="21"/>
        </w:rPr>
        <w:tab/>
      </w:r>
      <w:r w:rsidRPr="000442DA">
        <w:rPr>
          <w:rFonts w:ascii="Tahoma" w:hAnsi="Tahoma" w:cstheme="majorHAnsi"/>
          <w:b/>
          <w:bCs/>
          <w:sz w:val="21"/>
          <w:szCs w:val="21"/>
        </w:rPr>
        <w:t>Subject:</w:t>
      </w:r>
      <w:r w:rsidR="0052700F">
        <w:rPr>
          <w:rFonts w:ascii="Tahoma" w:hAnsi="Tahoma" w:cstheme="majorHAnsi"/>
          <w:sz w:val="21"/>
          <w:szCs w:val="21"/>
        </w:rPr>
        <w:t xml:space="preserve"> </w:t>
      </w:r>
      <w:r w:rsidR="00262591">
        <w:rPr>
          <w:rFonts w:ascii="Tahoma" w:hAnsi="Tahoma" w:cstheme="majorHAnsi"/>
          <w:sz w:val="21"/>
          <w:szCs w:val="21"/>
        </w:rPr>
        <w:t>3</w:t>
      </w:r>
      <w:r w:rsidR="00783149">
        <w:rPr>
          <w:rFonts w:ascii="Tahoma" w:hAnsi="Tahoma" w:cstheme="majorHAnsi"/>
          <w:sz w:val="21"/>
          <w:szCs w:val="21"/>
        </w:rPr>
        <w:t>7</w:t>
      </w:r>
      <w:r w:rsidR="00072945">
        <w:rPr>
          <w:rFonts w:ascii="Tahoma" w:hAnsi="Tahoma" w:cstheme="majorHAnsi"/>
          <w:sz w:val="21"/>
          <w:szCs w:val="21"/>
        </w:rPr>
        <w:t>0</w:t>
      </w:r>
      <w:r w:rsidR="00647884">
        <w:rPr>
          <w:rFonts w:ascii="Tahoma" w:hAnsi="Tahoma" w:cstheme="majorHAnsi"/>
          <w:sz w:val="21"/>
          <w:szCs w:val="21"/>
        </w:rPr>
        <w:tab/>
      </w:r>
      <w:r w:rsidRPr="00BD303F">
        <w:rPr>
          <w:rFonts w:ascii="Tahoma" w:hAnsi="Tahoma" w:cstheme="majorHAnsi"/>
          <w:sz w:val="21"/>
          <w:szCs w:val="21"/>
        </w:rPr>
        <w:tab/>
      </w:r>
      <w:r w:rsidR="00783149">
        <w:rPr>
          <w:rFonts w:ascii="Tahoma" w:hAnsi="Tahoma" w:cstheme="majorHAnsi"/>
          <w:sz w:val="21"/>
          <w:szCs w:val="21"/>
        </w:rPr>
        <w:tab/>
      </w:r>
      <w:r w:rsidRPr="00BD303F">
        <w:rPr>
          <w:rFonts w:ascii="Tahoma" w:hAnsi="Tahoma" w:cstheme="majorHAnsi"/>
          <w:sz w:val="21"/>
          <w:szCs w:val="21"/>
        </w:rPr>
        <w:t xml:space="preserve"> </w:t>
      </w:r>
      <w:r w:rsidRPr="00647884">
        <w:rPr>
          <w:rFonts w:ascii="Tahoma" w:hAnsi="Tahoma" w:cstheme="majorHAnsi"/>
          <w:b/>
          <w:bCs/>
          <w:sz w:val="21"/>
          <w:szCs w:val="21"/>
        </w:rPr>
        <w:t>Credits:</w:t>
      </w:r>
      <w:r w:rsidRPr="00647884">
        <w:rPr>
          <w:rFonts w:ascii="Tahoma" w:hAnsi="Tahoma" w:cstheme="majorHAnsi"/>
          <w:sz w:val="21"/>
          <w:szCs w:val="21"/>
        </w:rPr>
        <w:t> </w:t>
      </w:r>
      <w:r w:rsidR="0052700F">
        <w:rPr>
          <w:rFonts w:ascii="Tahoma" w:hAnsi="Tahoma" w:cstheme="majorHAnsi"/>
          <w:sz w:val="21"/>
          <w:szCs w:val="21"/>
        </w:rPr>
        <w:t>1</w:t>
      </w:r>
      <w:r w:rsidRPr="00BD303F">
        <w:rPr>
          <w:rFonts w:ascii="Tahoma" w:hAnsi="Tahoma" w:cstheme="majorHAnsi"/>
          <w:sz w:val="21"/>
          <w:szCs w:val="21"/>
        </w:rPr>
        <w:tab/>
        <w:t xml:space="preserve">    </w:t>
      </w:r>
    </w:p>
    <w:p w14:paraId="3FB1FC19" w14:textId="6F20746A" w:rsidR="003B417C" w:rsidRPr="00BD303F" w:rsidRDefault="003B417C" w:rsidP="003B417C">
      <w:pPr>
        <w:rPr>
          <w:rFonts w:ascii="Tahoma" w:hAnsi="Tahoma" w:cstheme="majorHAnsi"/>
          <w:sz w:val="21"/>
          <w:szCs w:val="21"/>
        </w:rPr>
      </w:pPr>
      <w:r w:rsidRPr="00BD303F">
        <w:rPr>
          <w:rFonts w:ascii="Tahoma" w:hAnsi="Tahoma" w:cstheme="majorHAnsi"/>
          <w:b/>
          <w:sz w:val="21"/>
          <w:szCs w:val="21"/>
        </w:rPr>
        <w:t>Location:</w:t>
      </w:r>
      <w:r w:rsidRPr="00BD303F">
        <w:rPr>
          <w:rFonts w:ascii="Tahoma" w:hAnsi="Tahoma" w:cstheme="majorHAnsi"/>
          <w:sz w:val="21"/>
          <w:szCs w:val="21"/>
        </w:rPr>
        <w:t xml:space="preserve"> Virtual</w:t>
      </w:r>
      <w:r w:rsidRPr="00BD303F">
        <w:rPr>
          <w:rFonts w:ascii="Tahoma" w:hAnsi="Tahoma" w:cstheme="majorHAnsi"/>
          <w:sz w:val="21"/>
          <w:szCs w:val="21"/>
        </w:rPr>
        <w:tab/>
      </w:r>
      <w:r w:rsidRPr="00BD303F">
        <w:rPr>
          <w:rFonts w:ascii="Tahoma" w:hAnsi="Tahoma" w:cstheme="majorHAnsi"/>
          <w:sz w:val="21"/>
          <w:szCs w:val="21"/>
        </w:rPr>
        <w:tab/>
      </w:r>
      <w:r w:rsidR="002D26FD">
        <w:rPr>
          <w:rFonts w:ascii="Tahoma" w:hAnsi="Tahoma" w:cstheme="majorHAnsi"/>
          <w:sz w:val="21"/>
          <w:szCs w:val="21"/>
        </w:rPr>
        <w:tab/>
      </w:r>
      <w:r w:rsidR="0052700F">
        <w:rPr>
          <w:rFonts w:ascii="Tahoma" w:hAnsi="Tahoma" w:cstheme="majorHAnsi"/>
          <w:sz w:val="21"/>
          <w:szCs w:val="21"/>
        </w:rPr>
        <w:tab/>
      </w:r>
      <w:r w:rsidR="00783149">
        <w:rPr>
          <w:rFonts w:ascii="Tahoma" w:hAnsi="Tahoma" w:cstheme="majorHAnsi"/>
          <w:sz w:val="21"/>
          <w:szCs w:val="21"/>
        </w:rPr>
        <w:tab/>
      </w:r>
      <w:r w:rsidRPr="00BD303F">
        <w:rPr>
          <w:rFonts w:ascii="Tahoma" w:hAnsi="Tahoma" w:cstheme="majorHAnsi"/>
          <w:b/>
          <w:bCs/>
          <w:sz w:val="21"/>
          <w:szCs w:val="21"/>
        </w:rPr>
        <w:t>Audience: </w:t>
      </w:r>
      <w:r w:rsidRPr="00BD303F">
        <w:rPr>
          <w:rFonts w:ascii="Tahoma" w:hAnsi="Tahoma" w:cstheme="majorHAnsi"/>
          <w:bCs/>
          <w:sz w:val="21"/>
          <w:szCs w:val="21"/>
        </w:rPr>
        <w:t xml:space="preserve">General </w:t>
      </w:r>
      <w:r w:rsidRPr="00BD303F">
        <w:rPr>
          <w:rFonts w:ascii="Tahoma" w:hAnsi="Tahoma" w:cstheme="majorHAnsi"/>
          <w:sz w:val="21"/>
          <w:szCs w:val="21"/>
        </w:rPr>
        <w:t>Dentists</w:t>
      </w:r>
      <w:r w:rsidR="0052700F">
        <w:rPr>
          <w:rFonts w:ascii="Tahoma" w:hAnsi="Tahoma" w:cstheme="majorHAnsi"/>
          <w:sz w:val="21"/>
          <w:szCs w:val="21"/>
        </w:rPr>
        <w:t xml:space="preserve"> and </w:t>
      </w:r>
      <w:r w:rsidRPr="00BD303F">
        <w:rPr>
          <w:rFonts w:ascii="Tahoma" w:hAnsi="Tahoma" w:cstheme="majorHAnsi"/>
          <w:sz w:val="21"/>
          <w:szCs w:val="21"/>
        </w:rPr>
        <w:t>Dental Students</w:t>
      </w:r>
    </w:p>
    <w:p w14:paraId="4DB14DC4" w14:textId="2498C632" w:rsidR="00545C03" w:rsidRDefault="00A955BA" w:rsidP="00A955BA">
      <w:pPr>
        <w:rPr>
          <w:rFonts w:ascii="Tahoma" w:hAnsi="Tahoma" w:cstheme="majorHAnsi"/>
          <w:sz w:val="21"/>
          <w:szCs w:val="21"/>
        </w:rPr>
      </w:pPr>
      <w:r w:rsidRPr="00BD303F">
        <w:rPr>
          <w:rFonts w:ascii="Tahoma" w:hAnsi="Tahoma" w:cstheme="majorHAnsi"/>
          <w:b/>
          <w:sz w:val="21"/>
          <w:szCs w:val="21"/>
        </w:rPr>
        <w:t>Fees:</w:t>
      </w:r>
      <w:r w:rsidRPr="00BD303F">
        <w:rPr>
          <w:rFonts w:ascii="Tahoma" w:hAnsi="Tahoma" w:cstheme="majorHAnsi"/>
          <w:sz w:val="21"/>
          <w:szCs w:val="21"/>
        </w:rPr>
        <w:t xml:space="preserve"> NV AGD Members: $</w:t>
      </w:r>
      <w:r>
        <w:rPr>
          <w:rFonts w:ascii="Tahoma" w:hAnsi="Tahoma" w:cstheme="majorHAnsi"/>
          <w:sz w:val="21"/>
          <w:szCs w:val="21"/>
        </w:rPr>
        <w:t>30</w:t>
      </w:r>
      <w:r>
        <w:rPr>
          <w:rFonts w:ascii="Tahoma" w:hAnsi="Tahoma" w:cstheme="majorHAnsi"/>
          <w:sz w:val="21"/>
          <w:szCs w:val="21"/>
        </w:rPr>
        <w:tab/>
      </w:r>
      <w:r w:rsidRPr="00BD303F">
        <w:rPr>
          <w:rFonts w:ascii="Tahoma" w:hAnsi="Tahoma" w:cstheme="majorHAnsi"/>
          <w:sz w:val="21"/>
          <w:szCs w:val="21"/>
        </w:rPr>
        <w:t>Non-Member: $</w:t>
      </w:r>
      <w:r>
        <w:rPr>
          <w:rFonts w:ascii="Tahoma" w:hAnsi="Tahoma" w:cstheme="majorHAnsi"/>
          <w:sz w:val="21"/>
          <w:szCs w:val="21"/>
        </w:rPr>
        <w:t>60</w:t>
      </w:r>
      <w:r>
        <w:rPr>
          <w:rFonts w:ascii="Tahoma" w:hAnsi="Tahoma" w:cstheme="majorHAnsi"/>
          <w:sz w:val="21"/>
          <w:szCs w:val="21"/>
        </w:rPr>
        <w:tab/>
      </w:r>
      <w:r w:rsidRPr="00BD303F">
        <w:rPr>
          <w:rFonts w:ascii="Tahoma" w:hAnsi="Tahoma" w:cstheme="majorHAnsi"/>
          <w:sz w:val="21"/>
          <w:szCs w:val="21"/>
        </w:rPr>
        <w:t>Student AGD Member: $</w:t>
      </w:r>
      <w:r>
        <w:rPr>
          <w:rFonts w:ascii="Tahoma" w:hAnsi="Tahoma" w:cstheme="majorHAnsi"/>
          <w:sz w:val="21"/>
          <w:szCs w:val="21"/>
        </w:rPr>
        <w:t>5</w:t>
      </w:r>
      <w:r w:rsidRPr="00BD303F">
        <w:rPr>
          <w:rFonts w:ascii="Tahoma" w:hAnsi="Tahoma" w:cstheme="majorHAnsi"/>
          <w:sz w:val="21"/>
          <w:szCs w:val="21"/>
        </w:rPr>
        <w:t xml:space="preserve"> </w:t>
      </w:r>
      <w:r>
        <w:rPr>
          <w:rFonts w:ascii="Tahoma" w:hAnsi="Tahoma" w:cstheme="majorHAnsi"/>
          <w:sz w:val="21"/>
          <w:szCs w:val="21"/>
        </w:rPr>
        <w:tab/>
      </w:r>
      <w:r w:rsidRPr="00BD303F">
        <w:rPr>
          <w:rFonts w:ascii="Tahoma" w:hAnsi="Tahoma" w:cstheme="majorHAnsi"/>
          <w:sz w:val="21"/>
          <w:szCs w:val="21"/>
        </w:rPr>
        <w:t>Non-Member Student: $</w:t>
      </w:r>
      <w:r>
        <w:rPr>
          <w:rFonts w:ascii="Tahoma" w:hAnsi="Tahoma" w:cstheme="majorHAnsi"/>
          <w:sz w:val="21"/>
          <w:szCs w:val="21"/>
        </w:rPr>
        <w:t>10</w:t>
      </w:r>
      <w:r w:rsidR="003B417C" w:rsidRPr="00BD303F">
        <w:rPr>
          <w:rFonts w:ascii="Tahoma" w:hAnsi="Tahoma" w:cstheme="majorHAnsi"/>
          <w:sz w:val="21"/>
          <w:szCs w:val="21"/>
        </w:rPr>
        <w:tab/>
      </w:r>
    </w:p>
    <w:p w14:paraId="19734471" w14:textId="22691051" w:rsidR="00545C03" w:rsidRDefault="00783149" w:rsidP="003B417C">
      <w:pPr>
        <w:ind w:firstLine="720"/>
        <w:rPr>
          <w:rFonts w:ascii="Tahoma" w:hAnsi="Tahoma" w:cs="Calibri Light"/>
          <w:b/>
          <w:sz w:val="21"/>
          <w:szCs w:val="21"/>
        </w:rPr>
      </w:pPr>
      <w:r>
        <w:rPr>
          <w:noProof/>
        </w:rPr>
        <w:drawing>
          <wp:anchor distT="0" distB="0" distL="114300" distR="114300" simplePos="0" relativeHeight="251658240" behindDoc="0" locked="0" layoutInCell="1" allowOverlap="1" wp14:anchorId="17B81F0A" wp14:editId="743FE643">
            <wp:simplePos x="0" y="0"/>
            <wp:positionH relativeFrom="column">
              <wp:posOffset>4737100</wp:posOffset>
            </wp:positionH>
            <wp:positionV relativeFrom="paragraph">
              <wp:posOffset>77470</wp:posOffset>
            </wp:positionV>
            <wp:extent cx="2336800" cy="2921000"/>
            <wp:effectExtent l="0" t="0" r="0" b="0"/>
            <wp:wrapThrough wrapText="bothSides">
              <wp:wrapPolygon edited="0">
                <wp:start x="0" y="0"/>
                <wp:lineTo x="0" y="21506"/>
                <wp:lineTo x="21483" y="21506"/>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Mah Photo 1024x768.jpg"/>
                    <pic:cNvPicPr/>
                  </pic:nvPicPr>
                  <pic:blipFill>
                    <a:blip r:embed="rId7">
                      <a:extLst>
                        <a:ext uri="{28A0092B-C50C-407E-A947-70E740481C1C}">
                          <a14:useLocalDpi xmlns:a14="http://schemas.microsoft.com/office/drawing/2010/main" val="0"/>
                        </a:ext>
                      </a:extLst>
                    </a:blip>
                    <a:stretch>
                      <a:fillRect/>
                    </a:stretch>
                  </pic:blipFill>
                  <pic:spPr>
                    <a:xfrm>
                      <a:off x="0" y="0"/>
                      <a:ext cx="2336800" cy="2921000"/>
                    </a:xfrm>
                    <a:prstGeom prst="rect">
                      <a:avLst/>
                    </a:prstGeom>
                  </pic:spPr>
                </pic:pic>
              </a:graphicData>
            </a:graphic>
            <wp14:sizeRelH relativeFrom="page">
              <wp14:pctWidth>0</wp14:pctWidth>
            </wp14:sizeRelH>
            <wp14:sizeRelV relativeFrom="page">
              <wp14:pctHeight>0</wp14:pctHeight>
            </wp14:sizeRelV>
          </wp:anchor>
        </w:drawing>
      </w:r>
    </w:p>
    <w:p w14:paraId="559217E5" w14:textId="69E19060" w:rsidR="003B417C" w:rsidRPr="00545C03" w:rsidRDefault="00405DB0" w:rsidP="00007B40">
      <w:pPr>
        <w:ind w:firstLine="720"/>
        <w:jc w:val="center"/>
        <w:rPr>
          <w:rStyle w:val="Hyperlink"/>
          <w:rFonts w:ascii="Tahoma" w:hAnsi="Tahoma" w:cstheme="majorHAnsi"/>
          <w:color w:val="FF0000"/>
          <w:sz w:val="32"/>
          <w:szCs w:val="21"/>
        </w:rPr>
      </w:pPr>
      <w:hyperlink r:id="rId8" w:history="1">
        <w:r w:rsidR="003B417C" w:rsidRPr="00405DB0">
          <w:rPr>
            <w:rStyle w:val="Hyperlink"/>
            <w:rFonts w:ascii="Tahoma" w:hAnsi="Tahoma" w:cs="Calibri Light"/>
            <w:b/>
            <w:sz w:val="32"/>
            <w:szCs w:val="21"/>
          </w:rPr>
          <w:t>REGISTE</w:t>
        </w:r>
        <w:bookmarkStart w:id="0" w:name="_GoBack"/>
        <w:bookmarkEnd w:id="0"/>
        <w:r w:rsidR="003B417C" w:rsidRPr="00405DB0">
          <w:rPr>
            <w:rStyle w:val="Hyperlink"/>
            <w:rFonts w:ascii="Tahoma" w:hAnsi="Tahoma" w:cs="Calibri Light"/>
            <w:b/>
            <w:sz w:val="32"/>
            <w:szCs w:val="21"/>
          </w:rPr>
          <w:t>R</w:t>
        </w:r>
        <w:r w:rsidR="003B417C" w:rsidRPr="00405DB0">
          <w:rPr>
            <w:rStyle w:val="Hyperlink"/>
            <w:rFonts w:ascii="Tahoma" w:hAnsi="Tahoma" w:cs="Calibri Light"/>
            <w:b/>
            <w:sz w:val="32"/>
            <w:szCs w:val="21"/>
          </w:rPr>
          <w:t xml:space="preserve"> </w:t>
        </w:r>
        <w:r w:rsidR="003B417C" w:rsidRPr="00405DB0">
          <w:rPr>
            <w:rStyle w:val="Hyperlink"/>
            <w:rFonts w:ascii="Tahoma" w:hAnsi="Tahoma" w:cs="Calibri Light"/>
            <w:b/>
            <w:sz w:val="32"/>
            <w:szCs w:val="21"/>
          </w:rPr>
          <w:t>HERE</w:t>
        </w:r>
      </w:hyperlink>
    </w:p>
    <w:p w14:paraId="720610D4" w14:textId="0071A239" w:rsidR="00783149" w:rsidRPr="00783149" w:rsidRDefault="003B417C" w:rsidP="00783149">
      <w:pPr>
        <w:jc w:val="both"/>
        <w:rPr>
          <w:sz w:val="21"/>
          <w:szCs w:val="21"/>
        </w:rPr>
      </w:pPr>
      <w:r w:rsidRPr="00BD303F">
        <w:rPr>
          <w:rFonts w:ascii="Tahoma" w:hAnsi="Tahoma" w:cs="Calibri Light"/>
          <w:b/>
          <w:bCs/>
          <w:sz w:val="21"/>
          <w:szCs w:val="21"/>
        </w:rPr>
        <w:br/>
      </w:r>
      <w:r w:rsidRPr="00783149">
        <w:rPr>
          <w:rFonts w:ascii="Tahoma" w:hAnsi="Tahoma" w:cstheme="majorHAnsi"/>
          <w:b/>
          <w:bCs/>
          <w:sz w:val="21"/>
          <w:szCs w:val="21"/>
        </w:rPr>
        <w:t>Course Description</w:t>
      </w:r>
      <w:r w:rsidR="007F62F8" w:rsidRPr="00783149">
        <w:rPr>
          <w:rFonts w:ascii="Tahoma" w:hAnsi="Tahoma" w:cstheme="majorHAnsi"/>
          <w:b/>
          <w:bCs/>
          <w:sz w:val="21"/>
          <w:szCs w:val="21"/>
        </w:rPr>
        <w:t>:</w:t>
      </w:r>
      <w:r w:rsidR="00647884" w:rsidRPr="00783149">
        <w:rPr>
          <w:rFonts w:ascii="Tahoma" w:hAnsi="Tahoma" w:cstheme="majorHAnsi"/>
          <w:b/>
          <w:bCs/>
          <w:sz w:val="21"/>
          <w:szCs w:val="21"/>
        </w:rPr>
        <w:t xml:space="preserve"> </w:t>
      </w:r>
      <w:r w:rsidR="00783149" w:rsidRPr="00783149">
        <w:rPr>
          <w:rFonts w:ascii="Tahoma" w:hAnsi="Tahoma"/>
          <w:sz w:val="21"/>
          <w:szCs w:val="21"/>
        </w:rPr>
        <w:t xml:space="preserve">A common assumption in aligner therapy is that teeth that are passive in the treatment setup will not receive orthodontic forces from the aligners and should not move. While this assumption is very reasonable, clinical reports of unplanned tooth movements are beginning to appear in the literature. In other words, teeth that are not planned to move are found to have shifted. Subsequently, several research groups have provided </w:t>
      </w:r>
      <w:r w:rsidR="00783149" w:rsidRPr="00783149">
        <w:rPr>
          <w:rFonts w:ascii="Tahoma" w:hAnsi="Tahoma"/>
          <w:i/>
          <w:sz w:val="21"/>
          <w:szCs w:val="21"/>
        </w:rPr>
        <w:t>in vitro</w:t>
      </w:r>
      <w:r w:rsidR="00783149" w:rsidRPr="00783149">
        <w:rPr>
          <w:rFonts w:ascii="Tahoma" w:hAnsi="Tahoma"/>
          <w:sz w:val="21"/>
          <w:szCs w:val="21"/>
        </w:rPr>
        <w:t xml:space="preserve"> and clinical evidence to support and explain this unusual phenomenon. This evidence-based lecture will focus on the topic of unintended tooth movements and present recommended solutions to mitigate this complication of aligner therapy. At the conclusion of this presentation, participants will have a better understanding of the phenomenon and be aware of strategies to avoid or minimize it.</w:t>
      </w:r>
      <w:r w:rsidR="00783149" w:rsidRPr="00783149">
        <w:rPr>
          <w:sz w:val="21"/>
          <w:szCs w:val="21"/>
        </w:rPr>
        <w:t xml:space="preserve"> </w:t>
      </w:r>
    </w:p>
    <w:p w14:paraId="1837B817" w14:textId="6D727F44" w:rsidR="00647884" w:rsidRPr="00783149" w:rsidRDefault="00647884" w:rsidP="0025320A">
      <w:pPr>
        <w:jc w:val="center"/>
        <w:rPr>
          <w:rFonts w:ascii="Tahoma" w:hAnsi="Tahoma" w:cstheme="majorHAnsi"/>
          <w:b/>
          <w:bCs/>
          <w:sz w:val="21"/>
          <w:szCs w:val="21"/>
        </w:rPr>
      </w:pPr>
    </w:p>
    <w:p w14:paraId="0D7B8C3D" w14:textId="77777777" w:rsidR="00072945" w:rsidRPr="00783149" w:rsidRDefault="003B417C" w:rsidP="00072945">
      <w:pPr>
        <w:jc w:val="both"/>
        <w:rPr>
          <w:rFonts w:ascii="Tahoma" w:hAnsi="Tahoma" w:cstheme="majorHAnsi"/>
          <w:b/>
          <w:bCs/>
          <w:sz w:val="21"/>
          <w:szCs w:val="21"/>
        </w:rPr>
      </w:pPr>
      <w:r w:rsidRPr="00783149">
        <w:rPr>
          <w:rFonts w:ascii="Tahoma" w:hAnsi="Tahoma" w:cstheme="majorHAnsi"/>
          <w:b/>
          <w:bCs/>
          <w:sz w:val="21"/>
          <w:szCs w:val="21"/>
        </w:rPr>
        <w:t>Learning Objectives</w:t>
      </w:r>
      <w:r w:rsidR="007F62F8" w:rsidRPr="00783149">
        <w:rPr>
          <w:rFonts w:ascii="Tahoma" w:hAnsi="Tahoma" w:cstheme="majorHAnsi"/>
          <w:b/>
          <w:bCs/>
          <w:sz w:val="21"/>
          <w:szCs w:val="21"/>
        </w:rPr>
        <w:t>:</w:t>
      </w:r>
    </w:p>
    <w:p w14:paraId="1C385768" w14:textId="77777777" w:rsidR="00783149" w:rsidRPr="00783149" w:rsidRDefault="00783149" w:rsidP="00783149">
      <w:pPr>
        <w:jc w:val="both"/>
        <w:rPr>
          <w:rFonts w:ascii="Tahoma" w:hAnsi="Tahoma" w:cstheme="majorHAnsi"/>
          <w:bCs/>
          <w:sz w:val="21"/>
          <w:szCs w:val="21"/>
        </w:rPr>
      </w:pPr>
      <w:r w:rsidRPr="00783149">
        <w:rPr>
          <w:rFonts w:ascii="Tahoma" w:hAnsi="Tahoma" w:cstheme="majorHAnsi"/>
          <w:bCs/>
          <w:sz w:val="21"/>
          <w:szCs w:val="21"/>
        </w:rPr>
        <w:t>1. Be aware of unplanned tooth movements in aligner therapy</w:t>
      </w:r>
    </w:p>
    <w:p w14:paraId="387DFBB6" w14:textId="77777777" w:rsidR="00783149" w:rsidRPr="00783149" w:rsidRDefault="00783149" w:rsidP="00783149">
      <w:pPr>
        <w:jc w:val="both"/>
        <w:rPr>
          <w:rFonts w:ascii="Tahoma" w:hAnsi="Tahoma" w:cstheme="majorHAnsi"/>
          <w:bCs/>
          <w:sz w:val="21"/>
          <w:szCs w:val="21"/>
        </w:rPr>
      </w:pPr>
      <w:r w:rsidRPr="00783149">
        <w:rPr>
          <w:rFonts w:ascii="Tahoma" w:hAnsi="Tahoma" w:cstheme="majorHAnsi"/>
          <w:bCs/>
          <w:sz w:val="21"/>
          <w:szCs w:val="21"/>
        </w:rPr>
        <w:t>2. Understand possible reasons why unplanned movements may occur</w:t>
      </w:r>
    </w:p>
    <w:p w14:paraId="542E412B" w14:textId="77777777" w:rsidR="00783149" w:rsidRPr="00783149" w:rsidRDefault="00783149" w:rsidP="00783149">
      <w:pPr>
        <w:jc w:val="both"/>
        <w:rPr>
          <w:rFonts w:ascii="Tahoma" w:hAnsi="Tahoma" w:cstheme="majorHAnsi"/>
          <w:bCs/>
          <w:sz w:val="21"/>
          <w:szCs w:val="21"/>
        </w:rPr>
      </w:pPr>
      <w:r w:rsidRPr="00783149">
        <w:rPr>
          <w:rFonts w:ascii="Tahoma" w:hAnsi="Tahoma" w:cstheme="majorHAnsi"/>
          <w:bCs/>
          <w:sz w:val="21"/>
          <w:szCs w:val="21"/>
        </w:rPr>
        <w:t>3. Know clinical signs of unplanned tooth movement</w:t>
      </w:r>
    </w:p>
    <w:p w14:paraId="0D86F67A" w14:textId="77777777" w:rsidR="00783149" w:rsidRPr="00783149" w:rsidRDefault="00783149" w:rsidP="00783149">
      <w:pPr>
        <w:jc w:val="both"/>
        <w:rPr>
          <w:rFonts w:ascii="Tahoma" w:hAnsi="Tahoma" w:cstheme="majorHAnsi"/>
          <w:bCs/>
          <w:sz w:val="21"/>
          <w:szCs w:val="21"/>
        </w:rPr>
      </w:pPr>
      <w:r w:rsidRPr="00783149">
        <w:rPr>
          <w:rFonts w:ascii="Tahoma" w:hAnsi="Tahoma" w:cstheme="majorHAnsi"/>
          <w:bCs/>
          <w:sz w:val="21"/>
          <w:szCs w:val="21"/>
        </w:rPr>
        <w:t>4. Understand how aligner design can impact these unplanned movements</w:t>
      </w:r>
    </w:p>
    <w:p w14:paraId="0D30F9B6" w14:textId="77777777" w:rsidR="00783149" w:rsidRPr="00783149" w:rsidRDefault="00783149" w:rsidP="00783149">
      <w:pPr>
        <w:jc w:val="both"/>
        <w:rPr>
          <w:rFonts w:ascii="Tahoma" w:hAnsi="Tahoma" w:cstheme="majorHAnsi"/>
          <w:bCs/>
          <w:sz w:val="21"/>
          <w:szCs w:val="21"/>
        </w:rPr>
      </w:pPr>
      <w:r w:rsidRPr="00783149">
        <w:rPr>
          <w:rFonts w:ascii="Tahoma" w:hAnsi="Tahoma" w:cstheme="majorHAnsi"/>
          <w:bCs/>
          <w:sz w:val="21"/>
          <w:szCs w:val="21"/>
        </w:rPr>
        <w:t>5. Know strategies to avoid or minimize unplanned tooth movements</w:t>
      </w:r>
    </w:p>
    <w:p w14:paraId="30244332" w14:textId="77777777" w:rsidR="00783149" w:rsidRPr="00783149" w:rsidRDefault="00783149" w:rsidP="00783149">
      <w:pPr>
        <w:jc w:val="both"/>
        <w:rPr>
          <w:rFonts w:ascii="Tahoma" w:hAnsi="Tahoma" w:cstheme="majorHAnsi"/>
          <w:b/>
          <w:sz w:val="21"/>
          <w:szCs w:val="21"/>
        </w:rPr>
      </w:pPr>
    </w:p>
    <w:p w14:paraId="2BAEE285" w14:textId="77777777" w:rsidR="00783149" w:rsidRPr="00783149" w:rsidRDefault="003B417C" w:rsidP="00783149">
      <w:pPr>
        <w:jc w:val="both"/>
        <w:rPr>
          <w:rFonts w:ascii="Tahoma" w:hAnsi="Tahoma" w:cstheme="majorHAnsi"/>
          <w:sz w:val="21"/>
          <w:szCs w:val="21"/>
        </w:rPr>
      </w:pPr>
      <w:r w:rsidRPr="00783149">
        <w:rPr>
          <w:rFonts w:ascii="Tahoma" w:hAnsi="Tahoma" w:cstheme="majorHAnsi"/>
          <w:b/>
          <w:sz w:val="21"/>
          <w:szCs w:val="21"/>
        </w:rPr>
        <w:t>Instructor Qualifications</w:t>
      </w:r>
      <w:r w:rsidRPr="00783149">
        <w:rPr>
          <w:rFonts w:ascii="Tahoma" w:hAnsi="Tahoma" w:cstheme="majorHAnsi"/>
          <w:sz w:val="21"/>
          <w:szCs w:val="21"/>
        </w:rPr>
        <w:t xml:space="preserve">: </w:t>
      </w:r>
      <w:r w:rsidR="00647884" w:rsidRPr="00783149">
        <w:rPr>
          <w:rFonts w:ascii="Tahoma" w:hAnsi="Tahoma" w:cstheme="majorHAnsi"/>
          <w:sz w:val="21"/>
          <w:szCs w:val="21"/>
        </w:rPr>
        <w:t xml:space="preserve"> </w:t>
      </w:r>
      <w:r w:rsidR="00783149" w:rsidRPr="00783149">
        <w:rPr>
          <w:rFonts w:ascii="Tahoma" w:hAnsi="Tahoma" w:cstheme="majorHAnsi"/>
          <w:sz w:val="21"/>
          <w:szCs w:val="21"/>
        </w:rPr>
        <w:t xml:space="preserve">Professor Dr. James </w:t>
      </w:r>
      <w:proofErr w:type="spellStart"/>
      <w:r w:rsidR="00783149" w:rsidRPr="00783149">
        <w:rPr>
          <w:rFonts w:ascii="Tahoma" w:hAnsi="Tahoma" w:cstheme="majorHAnsi"/>
          <w:sz w:val="21"/>
          <w:szCs w:val="21"/>
        </w:rPr>
        <w:t>Mah</w:t>
      </w:r>
      <w:proofErr w:type="spellEnd"/>
      <w:r w:rsidR="00783149" w:rsidRPr="00783149">
        <w:rPr>
          <w:rFonts w:ascii="Tahoma" w:hAnsi="Tahoma" w:cstheme="majorHAnsi"/>
          <w:sz w:val="21"/>
          <w:szCs w:val="21"/>
        </w:rPr>
        <w:t xml:space="preserve"> is the Interim Dean at UNLV School of Dental Medicine. He obtained his Doctorate of Dental Surgery, Master of Science degrees and his Certificate of Specialization in Orthodontics from the University of Alberta and his Doctorate of Medical Science degree from Harvard University. Dr. </w:t>
      </w:r>
      <w:proofErr w:type="spellStart"/>
      <w:r w:rsidR="00783149" w:rsidRPr="00783149">
        <w:rPr>
          <w:rFonts w:ascii="Tahoma" w:hAnsi="Tahoma" w:cstheme="majorHAnsi"/>
          <w:sz w:val="21"/>
          <w:szCs w:val="21"/>
        </w:rPr>
        <w:t>Mah</w:t>
      </w:r>
      <w:proofErr w:type="spellEnd"/>
      <w:r w:rsidR="00783149" w:rsidRPr="00783149">
        <w:rPr>
          <w:rFonts w:ascii="Tahoma" w:hAnsi="Tahoma" w:cstheme="majorHAnsi"/>
          <w:sz w:val="21"/>
          <w:szCs w:val="21"/>
        </w:rPr>
        <w:t xml:space="preserve"> has authored over 100 publications and several textbook chapters. His research is focused on the biomechanics of aligners, use of botulinum toxin for bruxism and biology of tooth movement. He has made over 300 national and international presentations. He also serves as Associate Editor of the Journal of Aligner Orthodontics and is a reviewer for the American Journal of Orthodontics &amp; Dentofacial Orthopedics, Journal of Clinical Orthodontics and the Angle Orthodontist.</w:t>
      </w:r>
    </w:p>
    <w:p w14:paraId="4358CD04" w14:textId="77777777" w:rsidR="00072945" w:rsidRPr="00783149" w:rsidRDefault="00072945" w:rsidP="00072945">
      <w:pPr>
        <w:jc w:val="both"/>
        <w:rPr>
          <w:rFonts w:ascii="Tahoma" w:eastAsia="Times New Roman" w:hAnsi="Tahoma" w:cs="Arial"/>
          <w:color w:val="231F20"/>
          <w:sz w:val="21"/>
          <w:szCs w:val="21"/>
        </w:rPr>
      </w:pPr>
    </w:p>
    <w:p w14:paraId="2ACEC28A" w14:textId="22FAED36" w:rsidR="00912D95" w:rsidRPr="00783149" w:rsidRDefault="00912D95" w:rsidP="00007B40">
      <w:pPr>
        <w:jc w:val="both"/>
        <w:rPr>
          <w:rFonts w:ascii="Tahoma" w:eastAsia="Times New Roman" w:hAnsi="Tahoma" w:cs="Tahoma"/>
          <w:sz w:val="21"/>
          <w:szCs w:val="21"/>
        </w:rPr>
      </w:pPr>
      <w:r w:rsidRPr="00783149">
        <w:rPr>
          <w:rFonts w:ascii="Tahoma" w:eastAsia="Times New Roman" w:hAnsi="Tahoma" w:cs="Tahoma"/>
          <w:b/>
          <w:i/>
          <w:color w:val="000000"/>
          <w:sz w:val="21"/>
          <w:szCs w:val="21"/>
          <w:shd w:val="clear" w:color="auto" w:fill="FFFFFF"/>
        </w:rPr>
        <w:t>Requirements:</w:t>
      </w:r>
      <w:r w:rsidRPr="00783149">
        <w:rPr>
          <w:rFonts w:ascii="Tahoma" w:eastAsia="Times New Roman" w:hAnsi="Tahoma" w:cs="Tahoma"/>
          <w:color w:val="000000"/>
          <w:sz w:val="21"/>
          <w:szCs w:val="21"/>
          <w:shd w:val="clear" w:color="auto" w:fill="FFFFFF"/>
        </w:rPr>
        <w:t xml:space="preserve"> </w:t>
      </w:r>
      <w:r w:rsidR="000442DA" w:rsidRPr="00783149">
        <w:rPr>
          <w:rFonts w:ascii="Tahoma" w:eastAsia="Times New Roman" w:hAnsi="Tahoma" w:cs="Tahoma"/>
          <w:color w:val="000000"/>
          <w:sz w:val="21"/>
          <w:szCs w:val="21"/>
          <w:shd w:val="clear" w:color="auto" w:fill="FFFFFF"/>
        </w:rPr>
        <w:t>Access</w:t>
      </w:r>
      <w:r w:rsidRPr="00783149">
        <w:rPr>
          <w:rFonts w:ascii="Tahoma" w:eastAsia="Times New Roman" w:hAnsi="Tahoma" w:cs="Tahoma"/>
          <w:color w:val="000000"/>
          <w:sz w:val="21"/>
          <w:szCs w:val="21"/>
          <w:shd w:val="clear" w:color="auto" w:fill="FFFFFF"/>
        </w:rPr>
        <w:t xml:space="preserve"> to a computer that can play sound, </w:t>
      </w:r>
      <w:r w:rsidR="00875C1B" w:rsidRPr="00783149">
        <w:rPr>
          <w:rFonts w:ascii="Tahoma" w:eastAsia="Times New Roman" w:hAnsi="Tahoma" w:cs="Tahoma"/>
          <w:color w:val="000000"/>
          <w:sz w:val="21"/>
          <w:szCs w:val="21"/>
          <w:shd w:val="clear" w:color="auto" w:fill="FFFFFF"/>
        </w:rPr>
        <w:t>is</w:t>
      </w:r>
      <w:r w:rsidR="000442DA" w:rsidRPr="00783149">
        <w:rPr>
          <w:rFonts w:ascii="Tahoma" w:eastAsia="Times New Roman" w:hAnsi="Tahoma" w:cs="Tahoma"/>
          <w:color w:val="000000"/>
          <w:sz w:val="21"/>
          <w:szCs w:val="21"/>
          <w:shd w:val="clear" w:color="auto" w:fill="FFFFFF"/>
        </w:rPr>
        <w:t xml:space="preserve"> required for</w:t>
      </w:r>
      <w:r w:rsidRPr="00783149">
        <w:rPr>
          <w:rFonts w:ascii="Tahoma" w:eastAsia="Times New Roman" w:hAnsi="Tahoma" w:cs="Tahoma"/>
          <w:color w:val="000000"/>
          <w:sz w:val="21"/>
          <w:szCs w:val="21"/>
          <w:shd w:val="clear" w:color="auto" w:fill="FFFFFF"/>
        </w:rPr>
        <w:t xml:space="preserve"> participat</w:t>
      </w:r>
      <w:r w:rsidR="000442DA" w:rsidRPr="00783149">
        <w:rPr>
          <w:rFonts w:ascii="Tahoma" w:eastAsia="Times New Roman" w:hAnsi="Tahoma" w:cs="Tahoma"/>
          <w:color w:val="000000"/>
          <w:sz w:val="21"/>
          <w:szCs w:val="21"/>
          <w:shd w:val="clear" w:color="auto" w:fill="FFFFFF"/>
        </w:rPr>
        <w:t>ion</w:t>
      </w:r>
      <w:r w:rsidRPr="00783149">
        <w:rPr>
          <w:rFonts w:ascii="Tahoma" w:eastAsia="Times New Roman" w:hAnsi="Tahoma" w:cs="Tahoma"/>
          <w:color w:val="000000"/>
          <w:sz w:val="21"/>
          <w:szCs w:val="21"/>
          <w:shd w:val="clear" w:color="auto" w:fill="FFFFFF"/>
        </w:rPr>
        <w:t xml:space="preserve"> the Nevada AGD </w:t>
      </w:r>
      <w:r w:rsidR="000442DA" w:rsidRPr="00783149">
        <w:rPr>
          <w:rFonts w:ascii="Tahoma" w:eastAsia="Times New Roman" w:hAnsi="Tahoma" w:cs="Tahoma"/>
          <w:color w:val="000000"/>
          <w:sz w:val="21"/>
          <w:szCs w:val="21"/>
          <w:shd w:val="clear" w:color="auto" w:fill="FFFFFF"/>
        </w:rPr>
        <w:t>live webinar</w:t>
      </w:r>
      <w:r w:rsidRPr="00783149">
        <w:rPr>
          <w:rFonts w:ascii="Tahoma" w:eastAsia="Times New Roman" w:hAnsi="Tahoma" w:cs="Tahoma"/>
          <w:color w:val="000000"/>
          <w:sz w:val="21"/>
          <w:szCs w:val="21"/>
          <w:shd w:val="clear" w:color="auto" w:fill="FFFFFF"/>
        </w:rPr>
        <w:t xml:space="preserve">. No special computer knowledge or equipment is required to </w:t>
      </w:r>
      <w:r w:rsidR="000442DA" w:rsidRPr="00783149">
        <w:rPr>
          <w:rFonts w:ascii="Tahoma" w:eastAsia="Times New Roman" w:hAnsi="Tahoma" w:cs="Tahoma"/>
          <w:color w:val="000000"/>
          <w:sz w:val="21"/>
          <w:szCs w:val="21"/>
          <w:shd w:val="clear" w:color="auto" w:fill="FFFFFF"/>
        </w:rPr>
        <w:t>participate; however, t</w:t>
      </w:r>
      <w:r w:rsidRPr="00783149">
        <w:rPr>
          <w:rFonts w:ascii="Tahoma" w:eastAsia="Times New Roman" w:hAnsi="Tahoma" w:cs="Tahoma"/>
          <w:color w:val="000000"/>
          <w:sz w:val="21"/>
          <w:szCs w:val="21"/>
          <w:shd w:val="clear" w:color="auto" w:fill="FFFFFF"/>
        </w:rPr>
        <w:t>he webinar utilizes the Zoom platform.</w:t>
      </w:r>
      <w:r w:rsidR="000442DA" w:rsidRPr="00783149">
        <w:rPr>
          <w:rFonts w:ascii="Tahoma" w:eastAsia="Times New Roman" w:hAnsi="Tahoma" w:cs="Tahoma"/>
          <w:color w:val="000000"/>
          <w:sz w:val="21"/>
          <w:szCs w:val="21"/>
          <w:shd w:val="clear" w:color="auto" w:fill="FFFFFF"/>
        </w:rPr>
        <w:t xml:space="preserve"> Specific instructions will be disseminated upon registration to assist with course access. </w:t>
      </w:r>
    </w:p>
    <w:p w14:paraId="4C2B4A72" w14:textId="77777777" w:rsidR="007F62F8" w:rsidRPr="00783149" w:rsidRDefault="007F62F8" w:rsidP="003B417C">
      <w:pPr>
        <w:jc w:val="both"/>
        <w:rPr>
          <w:rFonts w:ascii="Tahoma" w:eastAsia="Times New Roman" w:hAnsi="Tahoma" w:cstheme="majorHAnsi"/>
          <w:color w:val="1D2228"/>
          <w:sz w:val="21"/>
          <w:szCs w:val="21"/>
        </w:rPr>
      </w:pPr>
    </w:p>
    <w:p w14:paraId="6F30B9DE" w14:textId="7A315FF5" w:rsidR="003B417C" w:rsidRDefault="003B417C" w:rsidP="00545C03">
      <w:pPr>
        <w:jc w:val="center"/>
        <w:rPr>
          <w:rStyle w:val="A4"/>
          <w:rFonts w:ascii="Tahoma" w:hAnsi="Tahoma" w:cs="Gotham Book"/>
          <w:sz w:val="21"/>
          <w:szCs w:val="21"/>
        </w:rPr>
      </w:pPr>
      <w:r w:rsidRPr="00783149">
        <w:rPr>
          <w:rStyle w:val="A4"/>
          <w:rFonts w:ascii="Tahoma" w:hAnsi="Tahoma" w:cstheme="majorHAnsi"/>
          <w:b/>
          <w:i/>
          <w:iCs/>
          <w:sz w:val="21"/>
          <w:szCs w:val="21"/>
        </w:rPr>
        <w:t>Cancellation Policy:</w:t>
      </w:r>
      <w:r w:rsidRPr="00783149">
        <w:rPr>
          <w:rStyle w:val="A4"/>
          <w:rFonts w:ascii="Tahoma" w:hAnsi="Tahoma" w:cstheme="majorHAnsi"/>
          <w:i/>
          <w:iCs/>
          <w:sz w:val="21"/>
          <w:szCs w:val="21"/>
        </w:rPr>
        <w:t xml:space="preserve"> </w:t>
      </w:r>
      <w:r w:rsidR="006D60B9" w:rsidRPr="00783149">
        <w:rPr>
          <w:rStyle w:val="A4"/>
          <w:rFonts w:ascii="Tahoma" w:hAnsi="Tahoma" w:cs="Gotham Book"/>
          <w:sz w:val="21"/>
          <w:szCs w:val="21"/>
        </w:rPr>
        <w:t xml:space="preserve">Cancellations by the participant </w:t>
      </w:r>
      <w:r w:rsidR="00B06A94" w:rsidRPr="00783149">
        <w:rPr>
          <w:rStyle w:val="A4"/>
          <w:rFonts w:ascii="Tahoma" w:hAnsi="Tahoma" w:cs="Gotham Book"/>
          <w:sz w:val="21"/>
          <w:szCs w:val="21"/>
        </w:rPr>
        <w:t xml:space="preserve">before </w:t>
      </w:r>
      <w:r w:rsidR="00262591" w:rsidRPr="00783149">
        <w:rPr>
          <w:rStyle w:val="A4"/>
          <w:rFonts w:ascii="Tahoma" w:hAnsi="Tahoma" w:cs="Gotham Book"/>
          <w:sz w:val="21"/>
          <w:szCs w:val="21"/>
        </w:rPr>
        <w:t>1/</w:t>
      </w:r>
      <w:r w:rsidR="00816038" w:rsidRPr="00783149">
        <w:rPr>
          <w:rStyle w:val="A4"/>
          <w:rFonts w:ascii="Tahoma" w:hAnsi="Tahoma" w:cs="Gotham Book"/>
          <w:sz w:val="21"/>
          <w:szCs w:val="21"/>
        </w:rPr>
        <w:t>1</w:t>
      </w:r>
      <w:r w:rsidR="00783149" w:rsidRPr="00783149">
        <w:rPr>
          <w:rStyle w:val="A4"/>
          <w:rFonts w:ascii="Tahoma" w:hAnsi="Tahoma" w:cs="Gotham Book"/>
          <w:sz w:val="21"/>
          <w:szCs w:val="21"/>
        </w:rPr>
        <w:t>6</w:t>
      </w:r>
      <w:r w:rsidR="00B06A94" w:rsidRPr="00783149">
        <w:rPr>
          <w:rStyle w:val="A4"/>
          <w:rFonts w:ascii="Tahoma" w:hAnsi="Tahoma" w:cs="Gotham Book"/>
          <w:sz w:val="21"/>
          <w:szCs w:val="21"/>
        </w:rPr>
        <w:t>/2</w:t>
      </w:r>
      <w:r w:rsidR="00783149" w:rsidRPr="00783149">
        <w:rPr>
          <w:rStyle w:val="A4"/>
          <w:rFonts w:ascii="Tahoma" w:hAnsi="Tahoma" w:cs="Gotham Book"/>
          <w:sz w:val="21"/>
          <w:szCs w:val="21"/>
        </w:rPr>
        <w:t>3</w:t>
      </w:r>
      <w:r w:rsidR="006D60B9" w:rsidRPr="00783149">
        <w:rPr>
          <w:rStyle w:val="A4"/>
          <w:rFonts w:ascii="Tahoma" w:hAnsi="Tahoma" w:cs="Gotham Book"/>
          <w:sz w:val="21"/>
          <w:szCs w:val="21"/>
        </w:rPr>
        <w:t xml:space="preserve"> will result in a fee of 50% of the tuition cost. Cancellations by the participant </w:t>
      </w:r>
      <w:r w:rsidR="00B06A94" w:rsidRPr="00783149">
        <w:rPr>
          <w:rStyle w:val="A4"/>
          <w:rFonts w:ascii="Tahoma" w:hAnsi="Tahoma" w:cs="Gotham Book"/>
          <w:sz w:val="21"/>
          <w:szCs w:val="21"/>
        </w:rPr>
        <w:t xml:space="preserve">after </w:t>
      </w:r>
      <w:r w:rsidR="00262591" w:rsidRPr="00783149">
        <w:rPr>
          <w:rStyle w:val="A4"/>
          <w:rFonts w:ascii="Tahoma" w:hAnsi="Tahoma" w:cs="Gotham Book"/>
          <w:sz w:val="21"/>
          <w:szCs w:val="21"/>
        </w:rPr>
        <w:t>1</w:t>
      </w:r>
      <w:r w:rsidR="00B06A94" w:rsidRPr="00783149">
        <w:rPr>
          <w:rStyle w:val="A4"/>
          <w:rFonts w:ascii="Tahoma" w:hAnsi="Tahoma" w:cs="Gotham Book"/>
          <w:sz w:val="21"/>
          <w:szCs w:val="21"/>
        </w:rPr>
        <w:t>/</w:t>
      </w:r>
      <w:r w:rsidR="00072945" w:rsidRPr="00783149">
        <w:rPr>
          <w:rStyle w:val="A4"/>
          <w:rFonts w:ascii="Tahoma" w:hAnsi="Tahoma" w:cs="Gotham Book"/>
          <w:sz w:val="21"/>
          <w:szCs w:val="21"/>
        </w:rPr>
        <w:t>2</w:t>
      </w:r>
      <w:r w:rsidR="00783149" w:rsidRPr="00783149">
        <w:rPr>
          <w:rStyle w:val="A4"/>
          <w:rFonts w:ascii="Tahoma" w:hAnsi="Tahoma" w:cs="Gotham Book"/>
          <w:sz w:val="21"/>
          <w:szCs w:val="21"/>
        </w:rPr>
        <w:t>3</w:t>
      </w:r>
      <w:r w:rsidR="00B06A94" w:rsidRPr="00783149">
        <w:rPr>
          <w:rStyle w:val="A4"/>
          <w:rFonts w:ascii="Tahoma" w:hAnsi="Tahoma" w:cs="Gotham Book"/>
          <w:sz w:val="21"/>
          <w:szCs w:val="21"/>
        </w:rPr>
        <w:t>/2</w:t>
      </w:r>
      <w:r w:rsidR="00783149" w:rsidRPr="00783149">
        <w:rPr>
          <w:rStyle w:val="A4"/>
          <w:rFonts w:ascii="Tahoma" w:hAnsi="Tahoma" w:cs="Gotham Book"/>
          <w:sz w:val="21"/>
          <w:szCs w:val="21"/>
        </w:rPr>
        <w:t>3</w:t>
      </w:r>
      <w:r w:rsidR="006D60B9" w:rsidRPr="00783149">
        <w:rPr>
          <w:rStyle w:val="A4"/>
          <w:rFonts w:ascii="Tahoma" w:hAnsi="Tahoma" w:cs="Gotham Book"/>
          <w:sz w:val="21"/>
          <w:szCs w:val="21"/>
        </w:rPr>
        <w:t xml:space="preserve"> days </w:t>
      </w:r>
      <w:r w:rsidR="00B06A94" w:rsidRPr="00783149">
        <w:rPr>
          <w:rStyle w:val="A4"/>
          <w:rFonts w:ascii="Tahoma" w:hAnsi="Tahoma" w:cs="Gotham Book"/>
          <w:sz w:val="21"/>
          <w:szCs w:val="21"/>
        </w:rPr>
        <w:t xml:space="preserve">or </w:t>
      </w:r>
      <w:r w:rsidR="006D60B9" w:rsidRPr="00783149">
        <w:rPr>
          <w:rStyle w:val="A4"/>
          <w:rFonts w:ascii="Tahoma" w:hAnsi="Tahoma" w:cs="Gotham Book"/>
          <w:sz w:val="21"/>
          <w:szCs w:val="21"/>
        </w:rPr>
        <w:t>no shows will be charged the entire regular tuition price. If NV AGD cancels the program, the participant will be reimbursed the full tuition amount.</w:t>
      </w:r>
    </w:p>
    <w:p w14:paraId="533B26FC" w14:textId="77777777" w:rsidR="00783149" w:rsidRPr="00783149" w:rsidRDefault="00783149" w:rsidP="00545C03">
      <w:pPr>
        <w:jc w:val="center"/>
        <w:rPr>
          <w:rStyle w:val="A4"/>
          <w:rFonts w:ascii="Tahoma" w:hAnsi="Tahoma" w:cs="Gotham Book"/>
          <w:sz w:val="21"/>
          <w:szCs w:val="21"/>
        </w:rPr>
      </w:pPr>
    </w:p>
    <w:p w14:paraId="21329E2F" w14:textId="0A42EF10" w:rsidR="000442DA" w:rsidRPr="00E31BEB" w:rsidRDefault="00E31BEB" w:rsidP="00E31BEB">
      <w:pPr>
        <w:jc w:val="center"/>
        <w:rPr>
          <w:sz w:val="21"/>
          <w:szCs w:val="21"/>
        </w:rPr>
      </w:pPr>
      <w:r>
        <w:rPr>
          <w:rFonts w:ascii="Tahoma" w:hAnsi="Tahoma" w:cstheme="majorHAnsi"/>
          <w:b/>
          <w:bCs/>
          <w:noProof/>
          <w:sz w:val="22"/>
          <w:szCs w:val="22"/>
        </w:rPr>
        <w:drawing>
          <wp:inline distT="0" distB="0" distL="0" distR="0" wp14:anchorId="63E1D586" wp14:editId="22FA0341">
            <wp:extent cx="548640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9-22 at 7.39.51 AM.png"/>
                    <pic:cNvPicPr/>
                  </pic:nvPicPr>
                  <pic:blipFill rotWithShape="1">
                    <a:blip r:embed="rId9">
                      <a:extLst>
                        <a:ext uri="{28A0092B-C50C-407E-A947-70E740481C1C}">
                          <a14:useLocalDpi xmlns:a14="http://schemas.microsoft.com/office/drawing/2010/main" val="0"/>
                        </a:ext>
                      </a:extLst>
                    </a:blip>
                    <a:srcRect t="14264" r="1082" b="17472"/>
                    <a:stretch/>
                  </pic:blipFill>
                  <pic:spPr bwMode="auto">
                    <a:xfrm>
                      <a:off x="0" y="0"/>
                      <a:ext cx="5568236" cy="863592"/>
                    </a:xfrm>
                    <a:prstGeom prst="rect">
                      <a:avLst/>
                    </a:prstGeom>
                    <a:ln>
                      <a:noFill/>
                    </a:ln>
                    <a:extLst>
                      <a:ext uri="{53640926-AAD7-44D8-BBD7-CCE9431645EC}">
                        <a14:shadowObscured xmlns:a14="http://schemas.microsoft.com/office/drawing/2010/main"/>
                      </a:ext>
                    </a:extLst>
                  </pic:spPr>
                </pic:pic>
              </a:graphicData>
            </a:graphic>
          </wp:inline>
        </w:drawing>
      </w:r>
    </w:p>
    <w:sectPr w:rsidR="000442DA" w:rsidRPr="00E31BEB" w:rsidSect="0064788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04EE9" w14:textId="77777777" w:rsidR="007923A6" w:rsidRDefault="007923A6" w:rsidP="003B417C">
      <w:r>
        <w:separator/>
      </w:r>
    </w:p>
  </w:endnote>
  <w:endnote w:type="continuationSeparator" w:id="0">
    <w:p w14:paraId="71397EAB" w14:textId="77777777" w:rsidR="007923A6" w:rsidRDefault="007923A6" w:rsidP="003B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otham Medium">
    <w:altName w:val="Calibri"/>
    <w:panose1 w:val="020B0604020202020204"/>
    <w:charset w:val="00"/>
    <w:family w:val="swiss"/>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2234" w14:textId="77777777" w:rsidR="007923A6" w:rsidRDefault="007923A6" w:rsidP="003B417C">
      <w:r>
        <w:separator/>
      </w:r>
    </w:p>
  </w:footnote>
  <w:footnote w:type="continuationSeparator" w:id="0">
    <w:p w14:paraId="17DD4824" w14:textId="77777777" w:rsidR="007923A6" w:rsidRDefault="007923A6" w:rsidP="003B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D479" w14:textId="674C5C2A" w:rsidR="003B417C" w:rsidRDefault="003B417C" w:rsidP="00647884">
    <w:pPr>
      <w:pStyle w:val="Header"/>
      <w:jc w:val="center"/>
    </w:pPr>
    <w:r>
      <w:rPr>
        <w:noProof/>
      </w:rPr>
      <w:drawing>
        <wp:inline distT="0" distB="0" distL="0" distR="0" wp14:anchorId="77789391" wp14:editId="2D41D1AF">
          <wp:extent cx="3179036" cy="762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D-Nevada-Logo-COLOR.gif"/>
                  <pic:cNvPicPr/>
                </pic:nvPicPr>
                <pic:blipFill>
                  <a:blip r:embed="rId1">
                    <a:extLst>
                      <a:ext uri="{28A0092B-C50C-407E-A947-70E740481C1C}">
                        <a14:useLocalDpi xmlns:a14="http://schemas.microsoft.com/office/drawing/2010/main" val="0"/>
                      </a:ext>
                    </a:extLst>
                  </a:blip>
                  <a:stretch>
                    <a:fillRect/>
                  </a:stretch>
                </pic:blipFill>
                <pic:spPr>
                  <a:xfrm>
                    <a:off x="0" y="0"/>
                    <a:ext cx="3220738" cy="772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3D298F"/>
    <w:multiLevelType w:val="hybridMultilevel"/>
    <w:tmpl w:val="F55A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3319B"/>
    <w:multiLevelType w:val="hybridMultilevel"/>
    <w:tmpl w:val="65AA9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BF7037"/>
    <w:multiLevelType w:val="hybridMultilevel"/>
    <w:tmpl w:val="9A8EBA0E"/>
    <w:lvl w:ilvl="0" w:tplc="0409000F">
      <w:start w:val="1"/>
      <w:numFmt w:val="decimal"/>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4" w15:restartNumberingAfterBreak="0">
    <w:nsid w:val="5C712382"/>
    <w:multiLevelType w:val="hybridMultilevel"/>
    <w:tmpl w:val="E7C86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22732"/>
    <w:multiLevelType w:val="hybridMultilevel"/>
    <w:tmpl w:val="C0504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E806D2"/>
    <w:multiLevelType w:val="hybridMultilevel"/>
    <w:tmpl w:val="A1E8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7C"/>
    <w:rsid w:val="00002E12"/>
    <w:rsid w:val="00007B40"/>
    <w:rsid w:val="000442DA"/>
    <w:rsid w:val="00072945"/>
    <w:rsid w:val="000D3755"/>
    <w:rsid w:val="00141951"/>
    <w:rsid w:val="00147969"/>
    <w:rsid w:val="001A3847"/>
    <w:rsid w:val="001D27C6"/>
    <w:rsid w:val="0025320A"/>
    <w:rsid w:val="00262591"/>
    <w:rsid w:val="002706A2"/>
    <w:rsid w:val="002D26FD"/>
    <w:rsid w:val="002D7F43"/>
    <w:rsid w:val="002F0518"/>
    <w:rsid w:val="00355B40"/>
    <w:rsid w:val="0039106E"/>
    <w:rsid w:val="003B417C"/>
    <w:rsid w:val="003D183A"/>
    <w:rsid w:val="003F192B"/>
    <w:rsid w:val="00405DB0"/>
    <w:rsid w:val="004679B4"/>
    <w:rsid w:val="00490395"/>
    <w:rsid w:val="0052700F"/>
    <w:rsid w:val="00545C03"/>
    <w:rsid w:val="00556FE3"/>
    <w:rsid w:val="005A44E2"/>
    <w:rsid w:val="005C5DA5"/>
    <w:rsid w:val="00647884"/>
    <w:rsid w:val="006D037A"/>
    <w:rsid w:val="006D60B9"/>
    <w:rsid w:val="00707FBD"/>
    <w:rsid w:val="00783149"/>
    <w:rsid w:val="007923A6"/>
    <w:rsid w:val="007F62F8"/>
    <w:rsid w:val="00816038"/>
    <w:rsid w:val="00843F6F"/>
    <w:rsid w:val="00854A5D"/>
    <w:rsid w:val="00875C1B"/>
    <w:rsid w:val="008F4076"/>
    <w:rsid w:val="00912D95"/>
    <w:rsid w:val="009D7966"/>
    <w:rsid w:val="009F3105"/>
    <w:rsid w:val="00A24C44"/>
    <w:rsid w:val="00A50DFD"/>
    <w:rsid w:val="00A648D2"/>
    <w:rsid w:val="00A76DAA"/>
    <w:rsid w:val="00A955BA"/>
    <w:rsid w:val="00AE7E2E"/>
    <w:rsid w:val="00B06A94"/>
    <w:rsid w:val="00B95B01"/>
    <w:rsid w:val="00C50AAE"/>
    <w:rsid w:val="00C56FF9"/>
    <w:rsid w:val="00C627BE"/>
    <w:rsid w:val="00D263A7"/>
    <w:rsid w:val="00D801B7"/>
    <w:rsid w:val="00D91675"/>
    <w:rsid w:val="00DC59FA"/>
    <w:rsid w:val="00DD0122"/>
    <w:rsid w:val="00E31BEB"/>
    <w:rsid w:val="00F02431"/>
    <w:rsid w:val="00FE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3191"/>
  <w14:defaultImageDpi w14:val="32767"/>
  <w15:chartTrackingRefBased/>
  <w15:docId w15:val="{117EE1F9-9F6B-D14F-B96F-A56AD45F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7C"/>
    <w:pPr>
      <w:spacing w:after="200" w:line="276" w:lineRule="auto"/>
      <w:ind w:left="720"/>
      <w:contextualSpacing/>
    </w:pPr>
    <w:rPr>
      <w:sz w:val="22"/>
      <w:szCs w:val="22"/>
    </w:rPr>
  </w:style>
  <w:style w:type="character" w:styleId="Hyperlink">
    <w:name w:val="Hyperlink"/>
    <w:basedOn w:val="DefaultParagraphFont"/>
    <w:uiPriority w:val="99"/>
    <w:unhideWhenUsed/>
    <w:rsid w:val="003B417C"/>
    <w:rPr>
      <w:color w:val="0563C1" w:themeColor="hyperlink"/>
      <w:u w:val="single"/>
    </w:rPr>
  </w:style>
  <w:style w:type="character" w:customStyle="1" w:styleId="A4">
    <w:name w:val="A4"/>
    <w:uiPriority w:val="99"/>
    <w:rsid w:val="003B417C"/>
    <w:rPr>
      <w:rFonts w:cs="Gotham Medium"/>
      <w:color w:val="000000"/>
      <w:sz w:val="14"/>
      <w:szCs w:val="14"/>
    </w:rPr>
  </w:style>
  <w:style w:type="paragraph" w:styleId="Header">
    <w:name w:val="header"/>
    <w:basedOn w:val="Normal"/>
    <w:link w:val="HeaderChar"/>
    <w:uiPriority w:val="99"/>
    <w:unhideWhenUsed/>
    <w:rsid w:val="003B417C"/>
    <w:pPr>
      <w:tabs>
        <w:tab w:val="center" w:pos="4680"/>
        <w:tab w:val="right" w:pos="9360"/>
      </w:tabs>
    </w:pPr>
  </w:style>
  <w:style w:type="character" w:customStyle="1" w:styleId="HeaderChar">
    <w:name w:val="Header Char"/>
    <w:basedOn w:val="DefaultParagraphFont"/>
    <w:link w:val="Header"/>
    <w:uiPriority w:val="99"/>
    <w:rsid w:val="003B417C"/>
  </w:style>
  <w:style w:type="paragraph" w:styleId="Footer">
    <w:name w:val="footer"/>
    <w:basedOn w:val="Normal"/>
    <w:link w:val="FooterChar"/>
    <w:uiPriority w:val="99"/>
    <w:unhideWhenUsed/>
    <w:rsid w:val="003B417C"/>
    <w:pPr>
      <w:tabs>
        <w:tab w:val="center" w:pos="4680"/>
        <w:tab w:val="right" w:pos="9360"/>
      </w:tabs>
    </w:pPr>
  </w:style>
  <w:style w:type="character" w:customStyle="1" w:styleId="FooterChar">
    <w:name w:val="Footer Char"/>
    <w:basedOn w:val="DefaultParagraphFont"/>
    <w:link w:val="Footer"/>
    <w:uiPriority w:val="99"/>
    <w:rsid w:val="003B417C"/>
  </w:style>
  <w:style w:type="character" w:styleId="UnresolvedMention">
    <w:name w:val="Unresolved Mention"/>
    <w:basedOn w:val="DefaultParagraphFont"/>
    <w:uiPriority w:val="99"/>
    <w:rsid w:val="00545C03"/>
    <w:rPr>
      <w:color w:val="605E5C"/>
      <w:shd w:val="clear" w:color="auto" w:fill="E1DFDD"/>
    </w:rPr>
  </w:style>
  <w:style w:type="character" w:styleId="FollowedHyperlink">
    <w:name w:val="FollowedHyperlink"/>
    <w:basedOn w:val="DefaultParagraphFont"/>
    <w:uiPriority w:val="99"/>
    <w:semiHidden/>
    <w:unhideWhenUsed/>
    <w:rsid w:val="00A76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427">
      <w:bodyDiv w:val="1"/>
      <w:marLeft w:val="0"/>
      <w:marRight w:val="0"/>
      <w:marTop w:val="0"/>
      <w:marBottom w:val="0"/>
      <w:divBdr>
        <w:top w:val="none" w:sz="0" w:space="0" w:color="auto"/>
        <w:left w:val="none" w:sz="0" w:space="0" w:color="auto"/>
        <w:bottom w:val="none" w:sz="0" w:space="0" w:color="auto"/>
        <w:right w:val="none" w:sz="0" w:space="0" w:color="auto"/>
      </w:divBdr>
      <w:divsChild>
        <w:div w:id="229731396">
          <w:marLeft w:val="0"/>
          <w:marRight w:val="0"/>
          <w:marTop w:val="0"/>
          <w:marBottom w:val="0"/>
          <w:divBdr>
            <w:top w:val="none" w:sz="0" w:space="0" w:color="auto"/>
            <w:left w:val="none" w:sz="0" w:space="0" w:color="auto"/>
            <w:bottom w:val="none" w:sz="0" w:space="0" w:color="auto"/>
            <w:right w:val="none" w:sz="0" w:space="0" w:color="auto"/>
          </w:divBdr>
        </w:div>
        <w:div w:id="279918999">
          <w:marLeft w:val="0"/>
          <w:marRight w:val="0"/>
          <w:marTop w:val="0"/>
          <w:marBottom w:val="0"/>
          <w:divBdr>
            <w:top w:val="none" w:sz="0" w:space="0" w:color="auto"/>
            <w:left w:val="none" w:sz="0" w:space="0" w:color="auto"/>
            <w:bottom w:val="none" w:sz="0" w:space="0" w:color="auto"/>
            <w:right w:val="none" w:sz="0" w:space="0" w:color="auto"/>
          </w:divBdr>
        </w:div>
      </w:divsChild>
    </w:div>
    <w:div w:id="230968481">
      <w:bodyDiv w:val="1"/>
      <w:marLeft w:val="0"/>
      <w:marRight w:val="0"/>
      <w:marTop w:val="0"/>
      <w:marBottom w:val="0"/>
      <w:divBdr>
        <w:top w:val="none" w:sz="0" w:space="0" w:color="auto"/>
        <w:left w:val="none" w:sz="0" w:space="0" w:color="auto"/>
        <w:bottom w:val="none" w:sz="0" w:space="0" w:color="auto"/>
        <w:right w:val="none" w:sz="0" w:space="0" w:color="auto"/>
      </w:divBdr>
    </w:div>
    <w:div w:id="373584883">
      <w:bodyDiv w:val="1"/>
      <w:marLeft w:val="0"/>
      <w:marRight w:val="0"/>
      <w:marTop w:val="0"/>
      <w:marBottom w:val="0"/>
      <w:divBdr>
        <w:top w:val="none" w:sz="0" w:space="0" w:color="auto"/>
        <w:left w:val="none" w:sz="0" w:space="0" w:color="auto"/>
        <w:bottom w:val="none" w:sz="0" w:space="0" w:color="auto"/>
        <w:right w:val="none" w:sz="0" w:space="0" w:color="auto"/>
      </w:divBdr>
    </w:div>
    <w:div w:id="743381302">
      <w:bodyDiv w:val="1"/>
      <w:marLeft w:val="0"/>
      <w:marRight w:val="0"/>
      <w:marTop w:val="0"/>
      <w:marBottom w:val="0"/>
      <w:divBdr>
        <w:top w:val="none" w:sz="0" w:space="0" w:color="auto"/>
        <w:left w:val="none" w:sz="0" w:space="0" w:color="auto"/>
        <w:bottom w:val="none" w:sz="0" w:space="0" w:color="auto"/>
        <w:right w:val="none" w:sz="0" w:space="0" w:color="auto"/>
      </w:divBdr>
      <w:divsChild>
        <w:div w:id="2120761287">
          <w:marLeft w:val="0"/>
          <w:marRight w:val="0"/>
          <w:marTop w:val="0"/>
          <w:marBottom w:val="0"/>
          <w:divBdr>
            <w:top w:val="none" w:sz="0" w:space="0" w:color="auto"/>
            <w:left w:val="none" w:sz="0" w:space="0" w:color="auto"/>
            <w:bottom w:val="none" w:sz="0" w:space="0" w:color="auto"/>
            <w:right w:val="none" w:sz="0" w:space="0" w:color="auto"/>
          </w:divBdr>
        </w:div>
        <w:div w:id="1266621069">
          <w:marLeft w:val="0"/>
          <w:marRight w:val="0"/>
          <w:marTop w:val="0"/>
          <w:marBottom w:val="0"/>
          <w:divBdr>
            <w:top w:val="none" w:sz="0" w:space="0" w:color="auto"/>
            <w:left w:val="none" w:sz="0" w:space="0" w:color="auto"/>
            <w:bottom w:val="none" w:sz="0" w:space="0" w:color="auto"/>
            <w:right w:val="none" w:sz="0" w:space="0" w:color="auto"/>
          </w:divBdr>
        </w:div>
        <w:div w:id="800268103">
          <w:marLeft w:val="0"/>
          <w:marRight w:val="0"/>
          <w:marTop w:val="0"/>
          <w:marBottom w:val="0"/>
          <w:divBdr>
            <w:top w:val="none" w:sz="0" w:space="0" w:color="auto"/>
            <w:left w:val="none" w:sz="0" w:space="0" w:color="auto"/>
            <w:bottom w:val="none" w:sz="0" w:space="0" w:color="auto"/>
            <w:right w:val="none" w:sz="0" w:space="0" w:color="auto"/>
          </w:divBdr>
        </w:div>
        <w:div w:id="41173591">
          <w:marLeft w:val="0"/>
          <w:marRight w:val="0"/>
          <w:marTop w:val="0"/>
          <w:marBottom w:val="0"/>
          <w:divBdr>
            <w:top w:val="none" w:sz="0" w:space="0" w:color="auto"/>
            <w:left w:val="none" w:sz="0" w:space="0" w:color="auto"/>
            <w:bottom w:val="none" w:sz="0" w:space="0" w:color="auto"/>
            <w:right w:val="none" w:sz="0" w:space="0" w:color="auto"/>
          </w:divBdr>
        </w:div>
      </w:divsChild>
    </w:div>
    <w:div w:id="882211043">
      <w:bodyDiv w:val="1"/>
      <w:marLeft w:val="0"/>
      <w:marRight w:val="0"/>
      <w:marTop w:val="0"/>
      <w:marBottom w:val="0"/>
      <w:divBdr>
        <w:top w:val="none" w:sz="0" w:space="0" w:color="auto"/>
        <w:left w:val="none" w:sz="0" w:space="0" w:color="auto"/>
        <w:bottom w:val="none" w:sz="0" w:space="0" w:color="auto"/>
        <w:right w:val="none" w:sz="0" w:space="0" w:color="auto"/>
      </w:divBdr>
    </w:div>
    <w:div w:id="1230965136">
      <w:bodyDiv w:val="1"/>
      <w:marLeft w:val="0"/>
      <w:marRight w:val="0"/>
      <w:marTop w:val="0"/>
      <w:marBottom w:val="0"/>
      <w:divBdr>
        <w:top w:val="none" w:sz="0" w:space="0" w:color="auto"/>
        <w:left w:val="none" w:sz="0" w:space="0" w:color="auto"/>
        <w:bottom w:val="none" w:sz="0" w:space="0" w:color="auto"/>
        <w:right w:val="none" w:sz="0" w:space="0" w:color="auto"/>
      </w:divBdr>
      <w:divsChild>
        <w:div w:id="474108233">
          <w:marLeft w:val="0"/>
          <w:marRight w:val="0"/>
          <w:marTop w:val="0"/>
          <w:marBottom w:val="0"/>
          <w:divBdr>
            <w:top w:val="none" w:sz="0" w:space="0" w:color="auto"/>
            <w:left w:val="none" w:sz="0" w:space="0" w:color="auto"/>
            <w:bottom w:val="none" w:sz="0" w:space="0" w:color="auto"/>
            <w:right w:val="none" w:sz="0" w:space="0" w:color="auto"/>
          </w:divBdr>
        </w:div>
        <w:div w:id="2068333291">
          <w:marLeft w:val="0"/>
          <w:marRight w:val="0"/>
          <w:marTop w:val="0"/>
          <w:marBottom w:val="0"/>
          <w:divBdr>
            <w:top w:val="none" w:sz="0" w:space="0" w:color="auto"/>
            <w:left w:val="none" w:sz="0" w:space="0" w:color="auto"/>
            <w:bottom w:val="none" w:sz="0" w:space="0" w:color="auto"/>
            <w:right w:val="none" w:sz="0" w:space="0" w:color="auto"/>
          </w:divBdr>
        </w:div>
      </w:divsChild>
    </w:div>
    <w:div w:id="1470316185">
      <w:bodyDiv w:val="1"/>
      <w:marLeft w:val="0"/>
      <w:marRight w:val="0"/>
      <w:marTop w:val="0"/>
      <w:marBottom w:val="0"/>
      <w:divBdr>
        <w:top w:val="none" w:sz="0" w:space="0" w:color="auto"/>
        <w:left w:val="none" w:sz="0" w:space="0" w:color="auto"/>
        <w:bottom w:val="none" w:sz="0" w:space="0" w:color="auto"/>
        <w:right w:val="none" w:sz="0" w:space="0" w:color="auto"/>
      </w:divBdr>
    </w:div>
    <w:div w:id="15953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dnevada.ticketspice.com/2023-january-unplanned-tooth-movements-in-aligner-therap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Ishkanian</dc:creator>
  <cp:keywords/>
  <dc:description/>
  <cp:lastModifiedBy>Emily Ishkanian</cp:lastModifiedBy>
  <cp:revision>3</cp:revision>
  <dcterms:created xsi:type="dcterms:W3CDTF">2022-10-05T20:53:00Z</dcterms:created>
  <dcterms:modified xsi:type="dcterms:W3CDTF">2022-10-06T21:07:00Z</dcterms:modified>
</cp:coreProperties>
</file>